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cz" ContentType="image/x-pcz"/>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BCC" w:rsidRPr="008F7CBB" w:rsidRDefault="006E48D9" w:rsidP="00C35C16">
      <w:pPr>
        <w:pStyle w:val="Heading1"/>
      </w:pPr>
      <w:r w:rsidRPr="008F7CBB">
        <w:t xml:space="preserve">Supplementary </w:t>
      </w:r>
      <w:r>
        <w:t>m</w:t>
      </w:r>
      <w:r w:rsidRPr="008F7CBB">
        <w:t>aterial</w:t>
      </w:r>
    </w:p>
    <w:p w:rsidR="00C35C16" w:rsidRPr="008F7CBB" w:rsidRDefault="00C35C16" w:rsidP="00C35C16">
      <w:pPr>
        <w:pStyle w:val="Authors"/>
      </w:pPr>
    </w:p>
    <w:p w:rsidR="00C35C16" w:rsidRPr="008F7CBB" w:rsidRDefault="00C35C16" w:rsidP="00C35C16">
      <w:r>
        <w:t xml:space="preserve">This material contains an extended discussion of the energetics (Sec. 2) and tables containing data in support of the Figures. </w:t>
      </w:r>
    </w:p>
    <w:p w:rsidR="00C35C16" w:rsidRPr="008F7CBB" w:rsidRDefault="00C35C16" w:rsidP="00C35C16"/>
    <w:p w:rsidR="00C35C16" w:rsidRPr="008F7CBB" w:rsidRDefault="00C35C16" w:rsidP="00C35C16">
      <w:pPr>
        <w:pStyle w:val="Heading1"/>
      </w:pPr>
      <w:r>
        <w:t>Notes on Sec. 2</w:t>
      </w:r>
    </w:p>
    <w:p w:rsidR="00C35C16" w:rsidRDefault="00C35C16" w:rsidP="00C35C16">
      <w:pPr>
        <w:pStyle w:val="Text12-24"/>
        <w:rPr>
          <w:color w:val="FF0000"/>
        </w:rPr>
      </w:pPr>
      <w:r w:rsidRPr="008F7CBB">
        <w:tab/>
        <w:t>Earth’s climate system is highly complex, but for the purpose of answering rather general questi</w:t>
      </w:r>
      <w:r w:rsidRPr="00EA1633">
        <w:t>ons based on conservation of energy it may</w:t>
      </w:r>
      <w:r w:rsidRPr="008F7CBB">
        <w:t xml:space="preserve"> be described as follows. </w:t>
      </w:r>
      <w:r>
        <w:t xml:space="preserve"> </w:t>
      </w:r>
      <w:r w:rsidRPr="008F7CBB">
        <w:t>It lies between two concentric spheres, an outer one that surrounds the whole system at an altitude of 20 km and an inner one that is beneath the deepest ocean (11 km).  It may be divided into four broadly homogeneous components, the atmosphere (A), the land and shelves (L), the upper ocean (O), and the deep ocean (O</w:t>
      </w:r>
      <w:r>
        <w:sym w:font="Symbol" w:char="F0A2"/>
      </w:r>
      <w:r w:rsidRPr="008F7CBB">
        <w:t>), shown schematically in Figure S-1.</w:t>
      </w:r>
      <w:r>
        <w:t xml:space="preserve"> (</w:t>
      </w:r>
      <w:r w:rsidRPr="008F7CBB">
        <w:t>Figures and Tables in this Material are designated S-1, S-2, etc.</w:t>
      </w:r>
      <w:r>
        <w:t>)</w:t>
      </w:r>
      <w:r w:rsidRPr="008F7CBB">
        <w:t xml:space="preserve">  The average ocean depth is 3800 m. </w:t>
      </w:r>
      <w:r>
        <w:rPr>
          <w:color w:val="FF0000"/>
        </w:rPr>
        <w:t xml:space="preserve"> </w:t>
      </w:r>
    </w:p>
    <w:p w:rsidR="00C35C16" w:rsidRPr="008F7CBB" w:rsidRDefault="00C35C16" w:rsidP="00C35C16">
      <w:pPr>
        <w:pStyle w:val="Text12-24"/>
      </w:pPr>
      <w:r w:rsidRPr="008F7CBB">
        <w:tab/>
        <w:t>The principle of conservation of energy provides a</w:t>
      </w:r>
      <w:r w:rsidRPr="00A53A71">
        <w:rPr>
          <w:color w:val="auto"/>
        </w:rPr>
        <w:t xml:space="preserve"> strong c</w:t>
      </w:r>
      <w:r w:rsidRPr="008F7CBB">
        <w:t>onnection between the energy fluxes through the two spheres and the rate of change of total energy within the CS.  The connection reveals a remarkably high correlation between the variations of solar irradiance and the upper ocean heat content on annual to decadal time scales  ([1], Chap. 13;  [8]).  To appreciate this correlation we must spell out the principle as it applies to the whole CS:</w:t>
      </w:r>
    </w:p>
    <w:p w:rsidR="00C35C16" w:rsidRPr="00134632" w:rsidRDefault="00C35C16" w:rsidP="00C35C16">
      <w:pPr>
        <w:pStyle w:val="Equation12-24"/>
      </w:pPr>
      <w:r w:rsidRPr="00B96759">
        <w:rPr>
          <w:position w:val="-68"/>
        </w:rPr>
        <w:object w:dxaOrig="6560" w:dyaOrig="1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2pt;height:73.8pt" o:ole="">
            <v:imagedata r:id="rId7" r:pict="rId8" o:title=""/>
          </v:shape>
          <o:OLEObject Type="Embed" ProgID="Equation.DSMT4" ShapeID="_x0000_i1025" DrawAspect="Content" ObjectID="_1311716666" r:id="rId9"/>
        </w:object>
      </w:r>
      <w:r w:rsidRPr="00134632">
        <w:tab/>
      </w:r>
      <w:r w:rsidRPr="00F868A6">
        <w:rPr>
          <w:position w:val="-24"/>
        </w:rPr>
        <w:tab/>
        <w:t>(</w:t>
      </w:r>
      <w:r>
        <w:rPr>
          <w:position w:val="-24"/>
        </w:rPr>
        <w:t>S-</w:t>
      </w:r>
      <w:r w:rsidRPr="00F868A6">
        <w:rPr>
          <w:position w:val="-24"/>
        </w:rPr>
        <w:t>1)</w:t>
      </w:r>
      <w:r w:rsidRPr="00134632">
        <w:tab/>
      </w:r>
    </w:p>
    <w:p w:rsidR="00C35C16" w:rsidRPr="008F7CBB" w:rsidRDefault="00C35C16" w:rsidP="00C35C16">
      <w:pPr>
        <w:pStyle w:val="Text12-24"/>
      </w:pPr>
      <w:r w:rsidRPr="008F7CBB">
        <w:lastRenderedPageBreak/>
        <w:t>where the two area (</w:t>
      </w:r>
      <w:r w:rsidRPr="00773B14">
        <w:rPr>
          <w:i/>
        </w:rPr>
        <w:t>A</w:t>
      </w:r>
      <w:r w:rsidRPr="008F7CBB">
        <w:t xml:space="preserve">) integrals cover the two enclosing spheres and the energy fluxes </w:t>
      </w:r>
      <w:r w:rsidRPr="00773B14">
        <w:rPr>
          <w:i/>
        </w:rPr>
        <w:t>F</w:t>
      </w:r>
      <w:r w:rsidRPr="00773B14">
        <w:rPr>
          <w:sz w:val="28"/>
          <w:vertAlign w:val="subscript"/>
        </w:rPr>
        <w:t>TOA</w:t>
      </w:r>
      <w:r w:rsidRPr="008F7CBB">
        <w:t xml:space="preserve"> and </w:t>
      </w:r>
      <w:r w:rsidRPr="00773B14">
        <w:rPr>
          <w:i/>
        </w:rPr>
        <w:t>F</w:t>
      </w:r>
      <w:r w:rsidRPr="00773B14">
        <w:rPr>
          <w:sz w:val="28"/>
          <w:vertAlign w:val="subscript"/>
        </w:rPr>
        <w:t>geo</w:t>
      </w:r>
      <w:r>
        <w:t xml:space="preserve"> are respectively</w:t>
      </w:r>
      <w:r w:rsidRPr="008F7CBB">
        <w:t xml:space="preserve"> the net radiative and the geothermal fluxes</w:t>
      </w:r>
      <w:r w:rsidRPr="00773B14">
        <w:t xml:space="preserve"> </w:t>
      </w:r>
      <w:r w:rsidRPr="008F7CBB">
        <w:t>in W/m</w:t>
      </w:r>
      <w:r w:rsidRPr="00773B14">
        <w:rPr>
          <w:sz w:val="28"/>
          <w:vertAlign w:val="superscript"/>
        </w:rPr>
        <w:t>2</w:t>
      </w:r>
      <w:r w:rsidRPr="008F7CBB">
        <w:t>, both defined as positive inward.  The four volume (</w:t>
      </w:r>
      <w:r w:rsidRPr="00773B14">
        <w:rPr>
          <w:i/>
        </w:rPr>
        <w:t>V</w:t>
      </w:r>
      <w:r w:rsidRPr="008F7CBB">
        <w:t>) integrals represent the total internal energy of the four components described above.</w:t>
      </w:r>
    </w:p>
    <w:p w:rsidR="00C35C16" w:rsidRPr="008F7CBB" w:rsidRDefault="00C35C16" w:rsidP="00C35C16">
      <w:pPr>
        <w:pStyle w:val="Text12-24"/>
      </w:pPr>
      <w:r w:rsidRPr="008F7CBB">
        <w:tab/>
        <w:t xml:space="preserve">Three of the volume integrals may be dropped in a first look at the problem.  </w:t>
      </w:r>
      <w:r>
        <w:t xml:space="preserve">As </w:t>
      </w:r>
      <w:r w:rsidRPr="004C4688">
        <w:rPr>
          <w:color w:val="auto"/>
        </w:rPr>
        <w:t>Pielke</w:t>
      </w:r>
      <w:r w:rsidRPr="00C84E97">
        <w:t xml:space="preserve"> [2] </w:t>
      </w:r>
      <w:r w:rsidRPr="004C4688">
        <w:rPr>
          <w:color w:val="auto"/>
        </w:rPr>
        <w:t>points out, in regard to the volume integral, the thermal reservoir of the ocean is much larger than that of the atmosphere and of the land and that other heat reservoirs such as sea and continental ice are inconsequential.  The Intergovernmental Panel on Climate Change (IPCC) report [9] agrees; it states that the oceans are the dominant portion of the global energy budget of the earth’s climate system, accounting for more than 90% of the total.  Fo</w:t>
      </w:r>
      <w:r w:rsidRPr="008F7CBB">
        <w:t>r example, the at</w:t>
      </w:r>
      <w:r>
        <w:t>m</w:t>
      </w:r>
      <w:r w:rsidRPr="008F7CBB">
        <w:t>osphere’s heat capacity is equivalent to that of abo</w:t>
      </w:r>
      <w:r w:rsidRPr="004B3A22">
        <w:rPr>
          <w:color w:val="auto"/>
        </w:rPr>
        <w:t xml:space="preserve">ut 2.4 m of sea water [10].  While these are true, it is the rate of change of the energy content that concerns us, so that </w:t>
      </w:r>
      <w:r w:rsidRPr="008F7CBB">
        <w:t>some care must be taken.</w:t>
      </w:r>
    </w:p>
    <w:p w:rsidR="00C35C16" w:rsidRDefault="00C35C16" w:rsidP="00C35C16">
      <w:pPr>
        <w:pStyle w:val="Text12-24"/>
      </w:pPr>
      <w:r w:rsidRPr="008F7CBB">
        <w:tab/>
        <w:t xml:space="preserve">The land is less easily dismissed than the atmosphere.  It has a large heat capacity but only a thin layer has </w:t>
      </w:r>
      <w:r>
        <w:t>much time</w:t>
      </w:r>
      <w:r w:rsidRPr="008F7CBB">
        <w:t xml:space="preserve"> dependence because of the small rate of heat diffusion into the ground.  Yet less easily dismissed is the deep ocea</w:t>
      </w:r>
      <w:r w:rsidRPr="00A53A71">
        <w:rPr>
          <w:color w:val="auto"/>
        </w:rPr>
        <w:t>n O</w:t>
      </w:r>
      <w:r w:rsidRPr="00A53A71">
        <w:rPr>
          <w:color w:val="auto"/>
        </w:rPr>
        <w:sym w:font="Symbol" w:char="F0A2"/>
      </w:r>
      <w:r w:rsidRPr="00A53A71">
        <w:rPr>
          <w:color w:val="auto"/>
        </w:rPr>
        <w:t>, which stores a substantial amount of thermal energy on long time scales, but our distinction betwe</w:t>
      </w:r>
      <w:r>
        <w:t>en O and O</w:t>
      </w:r>
      <w:r>
        <w:sym w:font="Symbol" w:char="F0A2"/>
      </w:r>
      <w:r>
        <w:t xml:space="preserve"> rules out O</w:t>
      </w:r>
      <w:r>
        <w:sym w:font="Symbol" w:char="F0A2"/>
      </w:r>
      <w:r>
        <w:t xml:space="preserve"> by definition, namely, O is that part of the ocean that has an appreciable time dependence on the annual-to-decadal scale.</w:t>
      </w:r>
      <w:r w:rsidRPr="008F7CBB">
        <w:t xml:space="preserve">  The depth of O is subject to various estimates, as discussed </w:t>
      </w:r>
      <w:r>
        <w:t>in Sec. 3</w:t>
      </w:r>
      <w:r w:rsidRPr="008F7CBB">
        <w:t>.</w:t>
      </w:r>
      <w:r w:rsidRPr="008F7CBB">
        <w:tab/>
      </w:r>
    </w:p>
    <w:p w:rsidR="00C35C16" w:rsidRPr="008F7CBB" w:rsidRDefault="00C35C16" w:rsidP="00C35C16">
      <w:pPr>
        <w:pStyle w:val="Text12-24"/>
      </w:pPr>
      <w:r>
        <w:tab/>
      </w:r>
      <w:r w:rsidRPr="008F7CBB">
        <w:t>Under the assumption that the three terms are negligible, Eq. (1) reduces to</w:t>
      </w:r>
    </w:p>
    <w:p w:rsidR="00C35C16" w:rsidRPr="00134632" w:rsidRDefault="00C35C16" w:rsidP="00C35C16">
      <w:pPr>
        <w:pStyle w:val="Equation12-24"/>
      </w:pPr>
      <w:r w:rsidRPr="00B96759">
        <w:rPr>
          <w:position w:val="-34"/>
        </w:rPr>
        <w:object w:dxaOrig="5140" w:dyaOrig="780">
          <v:shape id="_x0000_i1026" type="#_x0000_t75" style="width:256.8pt;height:39pt" o:ole="">
            <v:imagedata r:id="rId10" r:pict="rId11" o:title=""/>
          </v:shape>
          <o:OLEObject Type="Embed" ProgID="Equation.DSMT4" ShapeID="_x0000_i1026" DrawAspect="Content" ObjectID="_1311716667" r:id="rId12"/>
        </w:object>
      </w:r>
      <w:r w:rsidRPr="00134632">
        <w:tab/>
      </w:r>
      <w:r w:rsidRPr="00F868A6">
        <w:rPr>
          <w:position w:val="-24"/>
        </w:rPr>
        <w:tab/>
        <w:t>(</w:t>
      </w:r>
      <w:r>
        <w:rPr>
          <w:position w:val="-24"/>
        </w:rPr>
        <w:t>S-2</w:t>
      </w:r>
      <w:r w:rsidRPr="00F868A6">
        <w:rPr>
          <w:position w:val="-24"/>
        </w:rPr>
        <w:t>)</w:t>
      </w:r>
      <w:r w:rsidRPr="00134632">
        <w:tab/>
      </w:r>
    </w:p>
    <w:p w:rsidR="00C35C16" w:rsidRPr="008F7CBB" w:rsidRDefault="00C35C16" w:rsidP="00C35C16">
      <w:pPr>
        <w:pStyle w:val="Text12-24"/>
      </w:pPr>
      <w:r w:rsidRPr="008F7CBB">
        <w:t xml:space="preserve">where </w:t>
      </w:r>
      <w:r w:rsidRPr="00773B14">
        <w:rPr>
          <w:i/>
        </w:rPr>
        <w:t>H</w:t>
      </w:r>
      <w:r w:rsidRPr="00773B14">
        <w:rPr>
          <w:i/>
          <w:sz w:val="28"/>
          <w:vertAlign w:val="subscript"/>
        </w:rPr>
        <w:t>O</w:t>
      </w:r>
      <w:r>
        <w:t xml:space="preserve"> is the heat content of O.  A </w:t>
      </w:r>
      <w:r w:rsidRPr="008F7CBB">
        <w:t>further assumption is made here, namely, that the kinetic ener</w:t>
      </w:r>
      <w:r>
        <w:t>gy of O is negligible; see [1], pp</w:t>
      </w:r>
      <w:r w:rsidRPr="00E65398">
        <w:t>. 204-206.</w:t>
      </w:r>
      <w:r w:rsidRPr="008F7CBB">
        <w:t xml:space="preserve"> </w:t>
      </w:r>
    </w:p>
    <w:p w:rsidR="00C35C16" w:rsidRPr="006748BF" w:rsidRDefault="00C35C16" w:rsidP="00C35C16">
      <w:pPr>
        <w:pStyle w:val="Text12-24"/>
        <w:rPr>
          <w:strike/>
          <w:color w:val="FF0000"/>
        </w:rPr>
      </w:pPr>
      <w:r w:rsidRPr="008F7CBB">
        <w:tab/>
        <w:t xml:space="preserve">Let’s now consider the flux integrals.  </w:t>
      </w:r>
      <w:bookmarkStart w:id="0" w:name="OLE_LINK38"/>
      <w:bookmarkStart w:id="1" w:name="OLE_LINK39"/>
      <w:bookmarkStart w:id="2" w:name="OLE_LINK40"/>
      <w:r w:rsidRPr="008F7CBB">
        <w:t xml:space="preserve">The geothermal contribution is constant, but cannot be ignored because it contributes directly. </w:t>
      </w:r>
      <w:r w:rsidRPr="00C84E97">
        <w:t xml:space="preserve"> </w:t>
      </w:r>
      <w:r w:rsidRPr="008F7CBB">
        <w:t xml:space="preserve">The flux into the ocean and </w:t>
      </w:r>
      <w:r w:rsidRPr="00C45043">
        <w:rPr>
          <w:color w:val="auto"/>
        </w:rPr>
        <w:t>trenches averages 101 ± 2.2 mW/m</w:t>
      </w:r>
      <w:r w:rsidRPr="00C45043">
        <w:rPr>
          <w:color w:val="auto"/>
          <w:sz w:val="28"/>
          <w:vertAlign w:val="superscript"/>
        </w:rPr>
        <w:t>2</w:t>
      </w:r>
      <w:r w:rsidRPr="00C45043">
        <w:rPr>
          <w:color w:val="auto"/>
        </w:rPr>
        <w:t xml:space="preserve"> and that into the land and shelves averages 65 ± 1.6 mW/m</w:t>
      </w:r>
      <w:r w:rsidRPr="00C45043">
        <w:rPr>
          <w:color w:val="auto"/>
          <w:sz w:val="28"/>
          <w:vertAlign w:val="superscript"/>
        </w:rPr>
        <w:t>2</w:t>
      </w:r>
      <w:r w:rsidRPr="00C45043">
        <w:rPr>
          <w:color w:val="auto"/>
        </w:rPr>
        <w:t xml:space="preserve"> (globally averaged, 87 ± 2.0 mW/m</w:t>
      </w:r>
      <w:r w:rsidRPr="00C45043">
        <w:rPr>
          <w:color w:val="auto"/>
          <w:sz w:val="28"/>
          <w:vertAlign w:val="superscript"/>
        </w:rPr>
        <w:t>2</w:t>
      </w:r>
      <w:r w:rsidRPr="00C45043">
        <w:rPr>
          <w:color w:val="auto"/>
        </w:rPr>
        <w:t>) [11].  S</w:t>
      </w:r>
      <w:r w:rsidRPr="00642F48">
        <w:t>ome fraction of the entire 87 mW/m</w:t>
      </w:r>
      <w:r w:rsidRPr="00642F48">
        <w:rPr>
          <w:sz w:val="28"/>
          <w:vertAlign w:val="superscript"/>
        </w:rPr>
        <w:t>2</w:t>
      </w:r>
      <w:r w:rsidRPr="00642F48">
        <w:t xml:space="preserve">, called </w:t>
      </w:r>
      <w:r w:rsidRPr="00644229">
        <w:rPr>
          <w:i/>
        </w:rPr>
        <w:t>F</w:t>
      </w:r>
      <w:r w:rsidRPr="00644229">
        <w:rPr>
          <w:i/>
          <w:sz w:val="28"/>
          <w:vertAlign w:val="subscript"/>
        </w:rPr>
        <w:t>g</w:t>
      </w:r>
      <w:r w:rsidRPr="00642F48">
        <w:t xml:space="preserve">, contributes to </w:t>
      </w:r>
      <w:r w:rsidRPr="00642F48">
        <w:rPr>
          <w:i/>
        </w:rPr>
        <w:t>dH</w:t>
      </w:r>
      <w:r w:rsidRPr="00642F48">
        <w:rPr>
          <w:i/>
          <w:sz w:val="28"/>
          <w:vertAlign w:val="subscript"/>
        </w:rPr>
        <w:t>O</w:t>
      </w:r>
      <w:r w:rsidRPr="00642F48">
        <w:t>/</w:t>
      </w:r>
      <w:r w:rsidRPr="00642F48">
        <w:rPr>
          <w:i/>
        </w:rPr>
        <w:t>dt</w:t>
      </w:r>
      <w:r w:rsidRPr="00642F48">
        <w:t xml:space="preserve">.  The land and shelves component, measured at the surface, heats the atmosphere and is disposed of the same way as the radiative input is (some out the top as part of </w:t>
      </w:r>
      <w:r w:rsidRPr="00642F48">
        <w:rPr>
          <w:i/>
        </w:rPr>
        <w:t>F</w:t>
      </w:r>
      <w:r w:rsidRPr="00642F48">
        <w:rPr>
          <w:sz w:val="28"/>
          <w:vertAlign w:val="subscript"/>
        </w:rPr>
        <w:t>rad</w:t>
      </w:r>
      <w:r w:rsidRPr="00642F48">
        <w:t>, some to O).  The ocean floor component, measured at the ocean floor, heats both O and O</w:t>
      </w:r>
      <w:r w:rsidRPr="00642F48">
        <w:sym w:font="Symbol" w:char="F0A2"/>
      </w:r>
      <w:r w:rsidRPr="00642F48">
        <w:t>.  It is possible, therefore, that as little as 30 mW/m</w:t>
      </w:r>
      <w:r w:rsidRPr="00642F48">
        <w:rPr>
          <w:sz w:val="28"/>
          <w:vertAlign w:val="superscript"/>
        </w:rPr>
        <w:t>2</w:t>
      </w:r>
      <w:r w:rsidRPr="00642F48">
        <w:t xml:space="preserve"> contributes to O.</w:t>
      </w:r>
      <w:bookmarkEnd w:id="0"/>
      <w:bookmarkEnd w:id="1"/>
      <w:bookmarkEnd w:id="2"/>
      <w:r w:rsidRPr="00642F48">
        <w:t xml:space="preserve">  </w:t>
      </w:r>
    </w:p>
    <w:p w:rsidR="00C35C16" w:rsidRPr="00A45D5C" w:rsidRDefault="00C35C16" w:rsidP="00C35C16">
      <w:pPr>
        <w:pStyle w:val="Text12-24"/>
        <w:rPr>
          <w:color w:val="auto"/>
        </w:rPr>
      </w:pPr>
      <w:r w:rsidRPr="00773B14">
        <w:tab/>
      </w:r>
      <w:r w:rsidRPr="00773B14">
        <w:rPr>
          <w:i/>
        </w:rPr>
        <w:t>F</w:t>
      </w:r>
      <w:r w:rsidRPr="00773B14">
        <w:rPr>
          <w:sz w:val="28"/>
          <w:vertAlign w:val="subscript"/>
        </w:rPr>
        <w:t>TOA</w:t>
      </w:r>
      <w:r w:rsidRPr="00773B14">
        <w:t>, which is the net radiative flux at the outer surface, called top-of-atmosphere (</w:t>
      </w:r>
      <w:r w:rsidRPr="00773B14">
        <w:rPr>
          <w:smallCaps/>
        </w:rPr>
        <w:t>toa</w:t>
      </w:r>
      <w:r w:rsidRPr="00773B14">
        <w:t xml:space="preserve">), has two sources, solar and terrestrial.  It will be taken here as a measured quantity.  The net inward solar part is 70% of the incident solar flux; of this, roughly 28% is absorbed by the atmosphere and 72% by the surface.  Of the latter, 71% is incident upon O and 29% upon L.  Therefore (0.72)*(0.71) = 51% of the absorbed solar contributes directly to </w:t>
      </w:r>
      <w:r w:rsidRPr="00773B14">
        <w:rPr>
          <w:i/>
        </w:rPr>
        <w:t>dH</w:t>
      </w:r>
      <w:r w:rsidRPr="00773B14">
        <w:rPr>
          <w:i/>
          <w:sz w:val="28"/>
          <w:vertAlign w:val="subscript"/>
        </w:rPr>
        <w:t>O</w:t>
      </w:r>
      <w:r w:rsidRPr="00773B14">
        <w:t>/</w:t>
      </w:r>
      <w:r w:rsidRPr="00773B14">
        <w:rPr>
          <w:i/>
        </w:rPr>
        <w:t>dt</w:t>
      </w:r>
      <w:r w:rsidRPr="00A45D5C">
        <w:rPr>
          <w:color w:val="auto"/>
        </w:rPr>
        <w:t xml:space="preserve">. </w:t>
      </w:r>
      <w:r>
        <w:rPr>
          <w:color w:val="auto"/>
        </w:rPr>
        <w:t xml:space="preserve"> </w:t>
      </w:r>
      <w:r w:rsidRPr="00A45D5C">
        <w:rPr>
          <w:color w:val="auto"/>
        </w:rPr>
        <w:t xml:space="preserve">Although the other 49% absorbed by A and L is largely reradiated as the (negative) terrestrial contribution to </w:t>
      </w:r>
      <w:r w:rsidRPr="00773B14">
        <w:rPr>
          <w:i/>
        </w:rPr>
        <w:t>F</w:t>
      </w:r>
      <w:r w:rsidRPr="00773B14">
        <w:rPr>
          <w:sz w:val="28"/>
          <w:vertAlign w:val="subscript"/>
        </w:rPr>
        <w:t>TOA</w:t>
      </w:r>
      <w:r w:rsidRPr="00A45D5C">
        <w:rPr>
          <w:color w:val="auto"/>
        </w:rPr>
        <w:t xml:space="preserve">, it contributes indirectly through coupling to L and A and, in principle, carries some </w:t>
      </w:r>
      <w:r>
        <w:rPr>
          <w:color w:val="auto"/>
        </w:rPr>
        <w:t xml:space="preserve">additional </w:t>
      </w:r>
      <w:r w:rsidRPr="00A45D5C">
        <w:rPr>
          <w:color w:val="auto"/>
        </w:rPr>
        <w:t xml:space="preserve">time </w:t>
      </w:r>
      <w:r w:rsidRPr="00EA1633">
        <w:t>delay</w:t>
      </w:r>
      <w:r>
        <w:t xml:space="preserve">.  </w:t>
      </w:r>
      <w:r w:rsidRPr="00773B14">
        <w:t>The outgoing thermal radiation from A, L, and O</w:t>
      </w:r>
      <w:r w:rsidRPr="00A45D5C">
        <w:rPr>
          <w:color w:val="FF0000"/>
        </w:rPr>
        <w:t xml:space="preserve"> </w:t>
      </w:r>
      <w:r w:rsidRPr="00773B14">
        <w:t xml:space="preserve">originates primarily in A and is therefore only indirectly associated with </w:t>
      </w:r>
      <w:r w:rsidRPr="00773B14">
        <w:rPr>
          <w:i/>
        </w:rPr>
        <w:t>dH</w:t>
      </w:r>
      <w:r w:rsidRPr="00773B14">
        <w:rPr>
          <w:i/>
          <w:sz w:val="28"/>
          <w:vertAlign w:val="subscript"/>
        </w:rPr>
        <w:t>O</w:t>
      </w:r>
      <w:r w:rsidRPr="00773B14">
        <w:t>/</w:t>
      </w:r>
      <w:r w:rsidRPr="00773B14">
        <w:rPr>
          <w:i/>
        </w:rPr>
        <w:t>dt</w:t>
      </w:r>
      <w:r w:rsidRPr="00773B14">
        <w:t xml:space="preserve">. </w:t>
      </w:r>
      <w:r w:rsidRPr="00A45D5C">
        <w:rPr>
          <w:color w:val="auto"/>
        </w:rPr>
        <w:t xml:space="preserve"> These statements are qualitative and refer to global averages.</w:t>
      </w:r>
    </w:p>
    <w:p w:rsidR="00C35C16" w:rsidRPr="00CD637A" w:rsidRDefault="00C35C16" w:rsidP="00C35C16">
      <w:pPr>
        <w:pStyle w:val="Text12-24"/>
        <w:rPr>
          <w:color w:val="FF0000"/>
        </w:rPr>
      </w:pPr>
      <w:r w:rsidRPr="00773B14">
        <w:tab/>
        <w:t xml:space="preserve">We cannot address time delays for those parts of </w:t>
      </w:r>
      <w:r w:rsidRPr="00773B14">
        <w:rPr>
          <w:i/>
        </w:rPr>
        <w:t>F</w:t>
      </w:r>
      <w:r w:rsidRPr="00773B14">
        <w:rPr>
          <w:sz w:val="28"/>
          <w:vertAlign w:val="subscript"/>
        </w:rPr>
        <w:t>TOA</w:t>
      </w:r>
      <w:r w:rsidRPr="00773B14">
        <w:t xml:space="preserve"> that are indirectly coupled to </w:t>
      </w:r>
      <w:r w:rsidRPr="00773B14">
        <w:rPr>
          <w:i/>
        </w:rPr>
        <w:t>dH</w:t>
      </w:r>
      <w:r w:rsidRPr="00773B14">
        <w:rPr>
          <w:i/>
          <w:sz w:val="28"/>
          <w:vertAlign w:val="subscript"/>
        </w:rPr>
        <w:t>O</w:t>
      </w:r>
      <w:r w:rsidRPr="00773B14">
        <w:t>/</w:t>
      </w:r>
      <w:r w:rsidRPr="00773B14">
        <w:rPr>
          <w:i/>
        </w:rPr>
        <w:t>dt</w:t>
      </w:r>
      <w:r w:rsidRPr="00773B14">
        <w:t xml:space="preserve"> without a specific model of the interactions among the components of the CS.  However, </w:t>
      </w:r>
      <w:r>
        <w:t>as</w:t>
      </w:r>
      <w:r w:rsidRPr="00773B14">
        <w:t xml:space="preserve"> is known [8, 12, 13],</w:t>
      </w:r>
      <w:r w:rsidRPr="002971B8">
        <w:rPr>
          <w:color w:val="auto"/>
        </w:rPr>
        <w:t xml:space="preserve"> </w:t>
      </w:r>
      <w:r w:rsidRPr="00773B14">
        <w:t xml:space="preserve">and as </w:t>
      </w:r>
      <w:r>
        <w:t>is seen in the text</w:t>
      </w:r>
      <w:r w:rsidRPr="00773B14">
        <w:t xml:space="preserve">, there is almost no </w:t>
      </w:r>
      <w:r>
        <w:t>effective</w:t>
      </w:r>
      <w:r w:rsidRPr="00773B14">
        <w:t xml:space="preserve"> time delay on an annual scale, from which we conclude that either the time constants for energy transfer among O, L, and A are short compared with one year or that negligible overall transfer takes place.  The latter is inconsistent with the magnitude of transfer actually seen to occur.</w:t>
      </w:r>
    </w:p>
    <w:p w:rsidR="00C35C16" w:rsidRPr="00773B14" w:rsidRDefault="00C35C16" w:rsidP="00C35C16">
      <w:pPr>
        <w:pStyle w:val="Text12-24"/>
      </w:pPr>
      <w:r w:rsidRPr="00773B14">
        <w:tab/>
        <w:t>Working with global averages, we may divide each term of Eq. (</w:t>
      </w:r>
      <w:r>
        <w:t>S-</w:t>
      </w:r>
      <w:r w:rsidRPr="00773B14">
        <w:t>2) by the area of Earth,</w:t>
      </w:r>
      <w:r w:rsidRPr="00642F48">
        <w:t xml:space="preserve"> since this is negligibly different from the area of the outer and inner spherical surfaces being considered</w:t>
      </w:r>
      <w:r w:rsidRPr="00773B14">
        <w:t>.  Thus</w:t>
      </w:r>
    </w:p>
    <w:p w:rsidR="00C35C16" w:rsidRPr="00773B14" w:rsidRDefault="00C35C16" w:rsidP="00C35C16">
      <w:pPr>
        <w:pStyle w:val="Equation12-24"/>
        <w:rPr>
          <w:position w:val="0"/>
        </w:rPr>
      </w:pPr>
      <w:r w:rsidRPr="00773B14">
        <w:rPr>
          <w:position w:val="0"/>
        </w:rPr>
        <w:tab/>
      </w:r>
      <w:r w:rsidRPr="00644229">
        <w:rPr>
          <w:position w:val="-32"/>
        </w:rPr>
        <w:object w:dxaOrig="3420" w:dyaOrig="760">
          <v:shape id="_x0000_i1027" type="#_x0000_t75" style="width:171.6pt;height:38.4pt" o:ole="">
            <v:imagedata r:id="rId13" r:pict="rId14" o:title=""/>
          </v:shape>
          <o:OLEObject Type="Embed" ProgID="Equation.DSMT4" ShapeID="_x0000_i1027" DrawAspect="Content" ObjectID="_1311716668" r:id="rId15"/>
        </w:object>
      </w:r>
      <w:r w:rsidRPr="00773B14">
        <w:rPr>
          <w:position w:val="0"/>
        </w:rPr>
        <w:t>.</w:t>
      </w:r>
      <w:r w:rsidRPr="00773B14">
        <w:rPr>
          <w:position w:val="0"/>
        </w:rPr>
        <w:tab/>
        <w:t>(S-3)</w:t>
      </w:r>
      <w:r w:rsidRPr="00773B14">
        <w:rPr>
          <w:position w:val="0"/>
        </w:rPr>
        <w:tab/>
      </w:r>
    </w:p>
    <w:p w:rsidR="00C35C16" w:rsidRPr="00A45D5C" w:rsidRDefault="00C35C16" w:rsidP="00C35C16">
      <w:pPr>
        <w:pStyle w:val="Text12-24"/>
        <w:rPr>
          <w:color w:val="auto"/>
        </w:rPr>
      </w:pPr>
      <w:r w:rsidRPr="00A45D5C">
        <w:rPr>
          <w:color w:val="auto"/>
        </w:rPr>
        <w:t>In the literature one generally finds the total ocean heat content expressed in units of 10</w:t>
      </w:r>
      <w:r w:rsidRPr="00A45D5C">
        <w:rPr>
          <w:color w:val="auto"/>
          <w:sz w:val="28"/>
          <w:vertAlign w:val="superscript"/>
        </w:rPr>
        <w:t>22</w:t>
      </w:r>
      <w:r w:rsidRPr="00A45D5C">
        <w:rPr>
          <w:color w:val="auto"/>
        </w:rPr>
        <w:t xml:space="preserve"> J = 10 ZJ and time scales in years.   When </w:t>
      </w:r>
      <w:r w:rsidRPr="00A45D5C">
        <w:rPr>
          <w:i/>
          <w:color w:val="auto"/>
        </w:rPr>
        <w:t>dH</w:t>
      </w:r>
      <w:r w:rsidRPr="00A45D5C">
        <w:rPr>
          <w:i/>
          <w:color w:val="auto"/>
          <w:sz w:val="28"/>
          <w:vertAlign w:val="subscript"/>
        </w:rPr>
        <w:t>O</w:t>
      </w:r>
      <w:r w:rsidRPr="00A45D5C">
        <w:rPr>
          <w:color w:val="auto"/>
        </w:rPr>
        <w:t>/</w:t>
      </w:r>
      <w:r w:rsidRPr="00A45D5C">
        <w:rPr>
          <w:i/>
          <w:color w:val="auto"/>
        </w:rPr>
        <w:t>dt</w:t>
      </w:r>
      <w:r w:rsidRPr="00A45D5C">
        <w:rPr>
          <w:color w:val="auto"/>
        </w:rPr>
        <w:t xml:space="preserve"> is evaluated in these units, we have, in W/m</w:t>
      </w:r>
      <w:r w:rsidRPr="00A45D5C">
        <w:rPr>
          <w:color w:val="auto"/>
          <w:sz w:val="28"/>
          <w:vertAlign w:val="superscript"/>
        </w:rPr>
        <w:t>2</w:t>
      </w:r>
      <w:r w:rsidRPr="00A45D5C">
        <w:rPr>
          <w:color w:val="auto"/>
        </w:rPr>
        <w:t>,</w:t>
      </w:r>
    </w:p>
    <w:p w:rsidR="00C35C16" w:rsidRPr="008F7CBB" w:rsidRDefault="00C35C16" w:rsidP="00C35C16">
      <w:pPr>
        <w:pStyle w:val="Equation12-24"/>
      </w:pPr>
      <w:r w:rsidRPr="00773B14">
        <w:rPr>
          <w:position w:val="0"/>
        </w:rPr>
        <w:tab/>
      </w:r>
      <w:r w:rsidRPr="00644229">
        <w:object w:dxaOrig="2480" w:dyaOrig="680">
          <v:shape id="_x0000_i1028" type="#_x0000_t75" style="width:124.2pt;height:34.8pt" o:ole="">
            <v:imagedata r:id="rId16" r:pict="rId17" o:title=""/>
          </v:shape>
          <o:OLEObject Type="Embed" ProgID="Equation.DSMT4" ShapeID="_x0000_i1028" DrawAspect="Content" ObjectID="_1311716669" r:id="rId18"/>
        </w:object>
      </w:r>
      <w:r w:rsidRPr="00644229">
        <w:rPr>
          <w:position w:val="-30"/>
        </w:rPr>
        <w:t>.</w:t>
      </w:r>
      <w:r w:rsidRPr="00644229">
        <w:rPr>
          <w:position w:val="-30"/>
        </w:rPr>
        <w:tab/>
        <w:t>(S-4)</w:t>
      </w:r>
      <w:r w:rsidRPr="00773B14">
        <w:rPr>
          <w:position w:val="0"/>
        </w:rPr>
        <w:tab/>
      </w:r>
    </w:p>
    <w:p w:rsidR="00C35C16" w:rsidRDefault="00C35C16" w:rsidP="00C35C16"/>
    <w:p w:rsidR="00C35C16" w:rsidRPr="008F7CBB" w:rsidRDefault="00C35C16" w:rsidP="00C35C16">
      <w:pPr>
        <w:pStyle w:val="Text12-24"/>
      </w:pPr>
      <w:r>
        <w:br w:type="page"/>
        <w:t>Figure S-1</w:t>
      </w:r>
      <w:r w:rsidRPr="0076341D">
        <w:rPr>
          <w:color w:val="1F497D"/>
        </w:rPr>
        <w:t xml:space="preserve">. </w:t>
      </w:r>
      <w:r w:rsidRPr="002C1984">
        <w:t xml:space="preserve"> Schematic of the climate system and its four homogeneous components as related to overall energetics.  A = atmosphere, L = land, O = upper ocean whose energy content is variable on short time scales, O</w:t>
      </w:r>
      <w:r w:rsidRPr="002C1984">
        <w:sym w:font="Symbol" w:char="F0A2"/>
      </w:r>
      <w:r w:rsidRPr="002C1984">
        <w:t xml:space="preserve"> = deeper ocean with constant or slowly varying energy content.  The varying total energy input, given by the sum of the three fluxes shown with arrows, causes variations in the energy content of O (light blue shading), as</w:t>
      </w:r>
      <w:r w:rsidRPr="0076341D">
        <w:rPr>
          <w:color w:val="1F497D"/>
        </w:rPr>
        <w:t xml:space="preserve"> </w:t>
      </w:r>
      <w:r w:rsidRPr="008F7CBB">
        <w:t>discussed in the text.</w:t>
      </w:r>
      <w:r>
        <w:t xml:space="preserve">   </w:t>
      </w:r>
      <w:r w:rsidRPr="00B96044">
        <w:rPr>
          <w:i/>
        </w:rPr>
        <w:t>F</w:t>
      </w:r>
      <w:r w:rsidRPr="00B96044">
        <w:rPr>
          <w:sz w:val="28"/>
          <w:vertAlign w:val="subscript"/>
        </w:rPr>
        <w:t>geo1</w:t>
      </w:r>
      <w:r>
        <w:t xml:space="preserve"> and </w:t>
      </w:r>
      <w:r w:rsidRPr="00B96044">
        <w:rPr>
          <w:i/>
        </w:rPr>
        <w:t>F</w:t>
      </w:r>
      <w:r w:rsidRPr="00B96044">
        <w:rPr>
          <w:sz w:val="28"/>
          <w:vertAlign w:val="subscript"/>
        </w:rPr>
        <w:t>geo</w:t>
      </w:r>
      <w:r>
        <w:rPr>
          <w:sz w:val="28"/>
          <w:vertAlign w:val="subscript"/>
        </w:rPr>
        <w:t>2</w:t>
      </w:r>
      <w:r>
        <w:t xml:space="preserve"> are the partitions of </w:t>
      </w:r>
      <w:r w:rsidRPr="00B96044">
        <w:rPr>
          <w:i/>
        </w:rPr>
        <w:t>F</w:t>
      </w:r>
      <w:r w:rsidRPr="00B96044">
        <w:rPr>
          <w:sz w:val="28"/>
          <w:vertAlign w:val="subscript"/>
        </w:rPr>
        <w:t>g</w:t>
      </w:r>
      <w:r>
        <w:t xml:space="preserve">  discussed qualitatively at the end of Sec. 2.</w:t>
      </w:r>
    </w:p>
    <w:p w:rsidR="00C35C16" w:rsidRDefault="00C35C16" w:rsidP="00C35C16"/>
    <w:p w:rsidR="00C35C16" w:rsidRDefault="00C35C16" w:rsidP="00C35C16">
      <w:r>
        <w:rPr>
          <w:lang w:val="en-US" w:eastAsia="en-US"/>
        </w:rPr>
        <w:pict>
          <v:group id="_x0000_s1049" style="position:absolute;margin-left:103.05pt;margin-top:16.4pt;width:423.8pt;height:276pt;z-index:251657728" coordorigin="1861,2524" coordsize="8476,5520">
            <v:line id="_x0000_s1050" style="position:absolute" from="1877,3572" to="10337,3572"/>
            <v:rect id="_x0000_s1051" style="position:absolute;left:1861;top:4624;width:1980;height:2520" fillcolor="silver"/>
            <v:rect id="_x0000_s1052" style="position:absolute;left:3841;top:4984;width:6480;height:1440"/>
            <v:line id="_x0000_s1053" style="position:absolute" from="3841,5524" to="10321,5524">
              <v:stroke dashstyle="dashDot"/>
            </v:line>
            <v:line id="_x0000_s1054" style="position:absolute" from="3841,7144" to="10321,7144"/>
            <v:line id="_x0000_s1055" style="position:absolute" from="10321,6424" to="10321,7144"/>
            <v:rect id="_x0000_s1056" style="position:absolute;left:3661;top:6440;width:431;height:692" stroked="f"/>
            <v:line id="_x0000_s1057" style="position:absolute;flip:y" from="1861,3544" to="1861,4624"/>
            <v:line id="_x0000_s1058" style="position:absolute;flip:y" from="10316,3544" to="10321,4988"/>
            <v:shapetype id="_x0000_t202" coordsize="21600,21600" o:spt="202" path="m,l,21600r21600,l21600,xe">
              <v:stroke joinstyle="miter"/>
              <v:path gradientshapeok="t" o:connecttype="rect"/>
            </v:shapetype>
            <v:shape id="_x0000_s1059" type="#_x0000_t202" style="position:absolute;left:5840;top:3884;width:720;height:720" stroked="f">
              <v:textbox style="mso-next-textbox:#_x0000_s1059">
                <w:txbxContent>
                  <w:p w:rsidR="00C35C16" w:rsidRPr="006748BF" w:rsidRDefault="00C35C16" w:rsidP="00C35C16">
                    <w:pPr>
                      <w:rPr>
                        <w:b/>
                        <w:sz w:val="40"/>
                      </w:rPr>
                    </w:pPr>
                    <w:r w:rsidRPr="006748BF">
                      <w:rPr>
                        <w:b/>
                        <w:sz w:val="40"/>
                      </w:rPr>
                      <w:t>A</w:t>
                    </w:r>
                  </w:p>
                </w:txbxContent>
              </v:textbox>
            </v:shape>
            <v:shape id="_x0000_s1060" type="#_x0000_t202" style="position:absolute;left:2761;top:5884;width:720;height:720" stroked="f">
              <v:textbox style="mso-next-textbox:#_x0000_s1060">
                <w:txbxContent>
                  <w:p w:rsidR="00C35C16" w:rsidRPr="006748BF" w:rsidRDefault="00C35C16" w:rsidP="00C35C16">
                    <w:pPr>
                      <w:rPr>
                        <w:b/>
                        <w:sz w:val="40"/>
                      </w:rPr>
                    </w:pPr>
                    <w:r w:rsidRPr="006748BF">
                      <w:rPr>
                        <w:b/>
                        <w:sz w:val="40"/>
                      </w:rPr>
                      <w:t>L</w:t>
                    </w:r>
                  </w:p>
                </w:txbxContent>
              </v:textbox>
            </v:shape>
            <v:line id="_x0000_s1061" style="position:absolute" from="4741,3004" to="4741,3544">
              <v:stroke endarrow="block"/>
            </v:line>
            <v:line id="_x0000_s1062" style="position:absolute;flip:y" from="2957,4348" to="2957,4888">
              <v:stroke endarrow="block"/>
            </v:line>
            <v:shape id="_x0000_s1063" type="#_x0000_t202" style="position:absolute;left:4492;top:2524;width:2069;height:720" filled="f" stroked="f">
              <v:textbox style="mso-next-textbox:#_x0000_s1063">
                <w:txbxContent>
                  <w:p w:rsidR="00C35C16" w:rsidRPr="006748BF" w:rsidRDefault="00C35C16" w:rsidP="00C35C16">
                    <w:pPr>
                      <w:rPr>
                        <w:b/>
                      </w:rPr>
                    </w:pPr>
                    <w:r w:rsidRPr="006748BF">
                      <w:rPr>
                        <w:b/>
                        <w:i/>
                        <w:sz w:val="36"/>
                      </w:rPr>
                      <w:t>F</w:t>
                    </w:r>
                    <w:r w:rsidRPr="006748BF">
                      <w:rPr>
                        <w:b/>
                        <w:sz w:val="36"/>
                        <w:vertAlign w:val="subscript"/>
                      </w:rPr>
                      <w:t xml:space="preserve">TOA </w:t>
                    </w:r>
                    <w:r w:rsidRPr="006748BF">
                      <w:rPr>
                        <w:b/>
                        <w:sz w:val="32"/>
                      </w:rPr>
                      <w:t>(net)</w:t>
                    </w:r>
                  </w:p>
                </w:txbxContent>
              </v:textbox>
            </v:shape>
            <v:shape id="_x0000_s1064" type="#_x0000_t202" style="position:absolute;left:6181;top:7324;width:1080;height:720" filled="f" stroked="f">
              <v:textbox style="mso-next-textbox:#_x0000_s1064">
                <w:txbxContent>
                  <w:p w:rsidR="00C35C16" w:rsidRPr="006748BF" w:rsidRDefault="00C35C16" w:rsidP="00C35C16">
                    <w:pPr>
                      <w:rPr>
                        <w:b/>
                      </w:rPr>
                    </w:pPr>
                    <w:r w:rsidRPr="006748BF">
                      <w:rPr>
                        <w:b/>
                        <w:i/>
                        <w:sz w:val="36"/>
                      </w:rPr>
                      <w:t>F</w:t>
                    </w:r>
                    <w:r w:rsidRPr="006748BF">
                      <w:rPr>
                        <w:b/>
                        <w:sz w:val="36"/>
                        <w:vertAlign w:val="subscript"/>
                      </w:rPr>
                      <w:t>geo1</w:t>
                    </w:r>
                  </w:p>
                </w:txbxContent>
              </v:textbox>
            </v:shape>
            <v:shape id="_x0000_s1065" type="#_x0000_t202" style="position:absolute;left:2401;top:4624;width:1080;height:720" filled="f" stroked="f">
              <v:textbox style="mso-next-textbox:#_x0000_s1065">
                <w:txbxContent>
                  <w:p w:rsidR="00C35C16" w:rsidRPr="006748BF" w:rsidRDefault="00C35C16" w:rsidP="00C35C16">
                    <w:pPr>
                      <w:rPr>
                        <w:b/>
                      </w:rPr>
                    </w:pPr>
                    <w:r w:rsidRPr="006748BF">
                      <w:rPr>
                        <w:b/>
                        <w:i/>
                        <w:sz w:val="36"/>
                      </w:rPr>
                      <w:t>F</w:t>
                    </w:r>
                    <w:r w:rsidRPr="006748BF">
                      <w:rPr>
                        <w:b/>
                        <w:sz w:val="36"/>
                        <w:vertAlign w:val="subscript"/>
                      </w:rPr>
                      <w:t>geo2</w:t>
                    </w:r>
                  </w:p>
                </w:txbxContent>
              </v:textbox>
            </v:shape>
            <v:rect id="_x0000_s1066" style="position:absolute;left:3873;top:5004;width:6448;height:520" fillcolor="#cff" stroked="f"/>
            <v:shape id="_x0000_s1067" type="#_x0000_t202" style="position:absolute;left:6721;top:4984;width:720;height:720" filled="f" stroked="f">
              <v:fill color2="fill darken(118)" method="linear sigma" focus="100%" type="gradient"/>
              <v:textbox style="mso-next-textbox:#_x0000_s1067">
                <w:txbxContent>
                  <w:p w:rsidR="00C35C16" w:rsidRPr="006748BF" w:rsidRDefault="00C35C16" w:rsidP="00C35C16">
                    <w:pPr>
                      <w:rPr>
                        <w:b/>
                        <w:sz w:val="40"/>
                      </w:rPr>
                    </w:pPr>
                    <w:r w:rsidRPr="006748BF">
                      <w:rPr>
                        <w:b/>
                        <w:sz w:val="40"/>
                      </w:rPr>
                      <w:t>O</w:t>
                    </w:r>
                  </w:p>
                </w:txbxContent>
              </v:textbox>
            </v:shape>
            <v:rect id="_x0000_s1068" style="position:absolute;left:3661;top:6424;width:6623;height:724" fillcolor="silver" stroked="f"/>
            <v:line id="_x0000_s1069" style="position:absolute;flip:y" from="6721,6964" to="6721,7504">
              <v:stroke endarrow="block"/>
            </v:line>
            <v:rect id="_x0000_s1070" style="position:absolute;left:3869;top:5564;width:6432;height:848" fillcolor="#3cc" stroked="f"/>
            <v:shape id="_x0000_s1071" type="#_x0000_t202" style="position:absolute;left:7485;top:5636;width:876;height:720" filled="f" stroked="f">
              <v:textbox style="mso-next-textbox:#_x0000_s1071">
                <w:txbxContent>
                  <w:p w:rsidR="00C35C16" w:rsidRPr="006748BF" w:rsidRDefault="00C35C16" w:rsidP="00C35C16">
                    <w:pPr>
                      <w:rPr>
                        <w:b/>
                        <w:sz w:val="40"/>
                      </w:rPr>
                    </w:pPr>
                    <w:r w:rsidRPr="006748BF">
                      <w:rPr>
                        <w:b/>
                        <w:sz w:val="40"/>
                      </w:rPr>
                      <w:t>O</w:t>
                    </w:r>
                    <w:r w:rsidRPr="006748BF">
                      <w:rPr>
                        <w:b/>
                        <w:sz w:val="40"/>
                      </w:rPr>
                      <w:sym w:font="Symbol" w:char="F0A2"/>
                    </w:r>
                  </w:p>
                </w:txbxContent>
              </v:textbox>
            </v:shape>
          </v:group>
        </w:pict>
      </w:r>
    </w:p>
    <w:p w:rsidR="00C35C16" w:rsidRPr="00E65398" w:rsidRDefault="00C35C16" w:rsidP="00C35C16">
      <w:pPr>
        <w:rPr>
          <w:color w:val="000000"/>
        </w:rPr>
      </w:pPr>
    </w:p>
    <w:p w:rsidR="00C35C16" w:rsidRDefault="00C35C16" w:rsidP="00C35C16"/>
    <w:p w:rsidR="00C35C16" w:rsidRDefault="00C35C16" w:rsidP="00C35C16"/>
    <w:p w:rsidR="00C35C16" w:rsidRDefault="00C35C16" w:rsidP="00C35C16"/>
    <w:p w:rsidR="00C35C16" w:rsidRDefault="00C35C16" w:rsidP="00C35C16"/>
    <w:p w:rsidR="00C35C16" w:rsidRDefault="00C35C16" w:rsidP="00C35C16"/>
    <w:p w:rsidR="00C35C16" w:rsidRDefault="00C35C16" w:rsidP="00C35C16"/>
    <w:p w:rsidR="00C35C16" w:rsidRDefault="00C35C16" w:rsidP="00C35C16"/>
    <w:p w:rsidR="00C35C16" w:rsidRDefault="00C35C16" w:rsidP="00C35C16"/>
    <w:p w:rsidR="00C35C16" w:rsidRDefault="00C35C16" w:rsidP="00C35C16"/>
    <w:p w:rsidR="00C35C16" w:rsidRDefault="00C35C16" w:rsidP="00C35C16"/>
    <w:p w:rsidR="00C35C16" w:rsidRDefault="00C35C16" w:rsidP="00C35C16"/>
    <w:p w:rsidR="00C35C16" w:rsidRDefault="00C35C16" w:rsidP="00C35C16"/>
    <w:p w:rsidR="00C35C16" w:rsidRDefault="00C35C16" w:rsidP="00C35C16"/>
    <w:p w:rsidR="00C35C16" w:rsidRDefault="00C35C16" w:rsidP="00C35C16"/>
    <w:p w:rsidR="00C35C16" w:rsidRDefault="00C35C16" w:rsidP="00C35C16"/>
    <w:p w:rsidR="00C35C16" w:rsidRDefault="00C35C16" w:rsidP="00C35C16"/>
    <w:p w:rsidR="00C35C16" w:rsidRPr="00E65398" w:rsidRDefault="00C35C16" w:rsidP="00C35C16">
      <w:pPr>
        <w:rPr>
          <w:color w:val="000000"/>
        </w:rPr>
      </w:pPr>
    </w:p>
    <w:p w:rsidR="00C35C16" w:rsidRDefault="00C35C16" w:rsidP="00C35C16"/>
    <w:p w:rsidR="00C35C16" w:rsidRDefault="00C35C16" w:rsidP="00C35C16"/>
    <w:p w:rsidR="00C35C16" w:rsidRPr="008F7CBB" w:rsidRDefault="00C35C16" w:rsidP="00C35C16">
      <w:pPr>
        <w:pStyle w:val="Heading1"/>
      </w:pPr>
      <w:r w:rsidRPr="008F7CBB">
        <w:br w:type="page"/>
        <w:t xml:space="preserve">References for Supplementary </w:t>
      </w:r>
      <w:r>
        <w:t>material</w:t>
      </w:r>
    </w:p>
    <w:p w:rsidR="00C35C16" w:rsidRPr="008F7CBB" w:rsidRDefault="00C35C16" w:rsidP="00C35C16"/>
    <w:p w:rsidR="00C35C16" w:rsidRPr="008F7CBB" w:rsidRDefault="00C35C16" w:rsidP="00C35C16">
      <w:r w:rsidRPr="008F7CBB">
        <w:t xml:space="preserve">Numbers/references are identical to those in the main text.  </w:t>
      </w:r>
    </w:p>
    <w:p w:rsidR="00C35C16" w:rsidRPr="008F7CBB" w:rsidRDefault="00C35C16" w:rsidP="00C35C16"/>
    <w:p w:rsidR="00C35C16" w:rsidRPr="00C84E97" w:rsidRDefault="00C35C16" w:rsidP="00C35C16">
      <w:pPr>
        <w:pStyle w:val="References"/>
        <w:rPr>
          <w:color w:val="000000"/>
        </w:rPr>
      </w:pPr>
      <w:r w:rsidRPr="00C84E97">
        <w:rPr>
          <w:color w:val="000000"/>
        </w:rPr>
        <w:t>[1] J. P. Peixoto, A. H. Oort, Physics of Climate, American Institute of Physics, New York (1992).</w:t>
      </w:r>
    </w:p>
    <w:p w:rsidR="00C35C16" w:rsidRPr="00C84E97" w:rsidRDefault="00C35C16" w:rsidP="00C35C16">
      <w:pPr>
        <w:pStyle w:val="References"/>
        <w:rPr>
          <w:color w:val="000000"/>
        </w:rPr>
      </w:pPr>
      <w:r w:rsidRPr="00C84E97">
        <w:rPr>
          <w:color w:val="000000"/>
        </w:rPr>
        <w:t>[2] R. A. Pielke Sr</w:t>
      </w:r>
      <w:r>
        <w:rPr>
          <w:color w:val="000000"/>
        </w:rPr>
        <w:t>., Bull. Amer. Meteorol. Soc. 84</w:t>
      </w:r>
      <w:r w:rsidRPr="00C84E97">
        <w:rPr>
          <w:color w:val="000000"/>
        </w:rPr>
        <w:t xml:space="preserve"> (2003) 331.</w:t>
      </w:r>
    </w:p>
    <w:p w:rsidR="00C35C16" w:rsidRPr="00C84E97" w:rsidRDefault="00C35C16" w:rsidP="00C35C16">
      <w:pPr>
        <w:pStyle w:val="References"/>
        <w:rPr>
          <w:color w:val="000000"/>
        </w:rPr>
      </w:pPr>
      <w:r w:rsidRPr="00C84E97">
        <w:rPr>
          <w:color w:val="000000"/>
        </w:rPr>
        <w:t>[8] J. S. Ellis, T. H. Vonder Haar, S. Levitus, A. H. Oort, J. Geophys. Res. 83 (1978) 1958.</w:t>
      </w:r>
    </w:p>
    <w:p w:rsidR="00C35C16" w:rsidRPr="00C84E97" w:rsidRDefault="00C35C16" w:rsidP="00C35C16">
      <w:pPr>
        <w:pStyle w:val="References"/>
        <w:rPr>
          <w:color w:val="000000"/>
        </w:rPr>
      </w:pPr>
      <w:r w:rsidRPr="00C84E97">
        <w:rPr>
          <w:color w:val="000000"/>
        </w:rPr>
        <w:t xml:space="preserve">[9] N. L. Bindoff </w:t>
      </w:r>
      <w:r w:rsidRPr="00C84E97">
        <w:rPr>
          <w:i/>
          <w:color w:val="000000"/>
        </w:rPr>
        <w:t>et al</w:t>
      </w:r>
      <w:r w:rsidRPr="00C84E97">
        <w:rPr>
          <w:color w:val="000000"/>
        </w:rPr>
        <w:t xml:space="preserve">. (2007), in S. Solomon </w:t>
      </w:r>
      <w:r w:rsidRPr="00C84E97">
        <w:rPr>
          <w:i/>
          <w:color w:val="000000"/>
        </w:rPr>
        <w:t>et al</w:t>
      </w:r>
      <w:r w:rsidRPr="00C84E97">
        <w:rPr>
          <w:color w:val="000000"/>
        </w:rPr>
        <w:t>. (eds.), Climate Change 2007: The Physical Science Basis. Contribution of Working Group I to the Fourth Assessment Report of the Intergovernmental Panel on Climate Change, Cambridge University Press, Cambridge, UK and New York , NY, Chap. 5, 2007, pp. 385–432.</w:t>
      </w:r>
    </w:p>
    <w:p w:rsidR="00C35C16" w:rsidRPr="00C84E97" w:rsidRDefault="00C35C16" w:rsidP="00C35C16">
      <w:pPr>
        <w:pStyle w:val="References"/>
        <w:rPr>
          <w:color w:val="000000"/>
        </w:rPr>
      </w:pPr>
      <w:r w:rsidRPr="00C84E97">
        <w:rPr>
          <w:color w:val="000000"/>
        </w:rPr>
        <w:t>[10] B. Hartmann, G. Wendler, J. Climate 1</w:t>
      </w:r>
      <w:r>
        <w:rPr>
          <w:color w:val="000000"/>
        </w:rPr>
        <w:t>8 (2005) 4824.  doi:10.1175/JCLI</w:t>
      </w:r>
      <w:r w:rsidRPr="00C84E97">
        <w:rPr>
          <w:color w:val="000000"/>
        </w:rPr>
        <w:t>3532.1</w:t>
      </w:r>
    </w:p>
    <w:p w:rsidR="00C35C16" w:rsidRPr="00C84E97" w:rsidRDefault="00C35C16" w:rsidP="00C35C16">
      <w:pPr>
        <w:pStyle w:val="References"/>
        <w:rPr>
          <w:color w:val="000000"/>
        </w:rPr>
      </w:pPr>
      <w:r w:rsidRPr="00C84E97">
        <w:rPr>
          <w:color w:val="000000"/>
        </w:rPr>
        <w:t>[11] H. Pollack, S. Hurter, J. Johnson, Rev. Geophys. 31 (1993) 267.</w:t>
      </w:r>
    </w:p>
    <w:p w:rsidR="00C35C16" w:rsidRPr="00C84E97" w:rsidRDefault="00C35C16" w:rsidP="00C35C16">
      <w:pPr>
        <w:pStyle w:val="References"/>
        <w:rPr>
          <w:color w:val="000000"/>
        </w:rPr>
      </w:pPr>
      <w:r w:rsidRPr="00C84E97">
        <w:rPr>
          <w:color w:val="000000"/>
        </w:rPr>
        <w:t>[12] R. A. Pielke Sr., Physics Today 61, no. 11 (2008) 54.</w:t>
      </w:r>
    </w:p>
    <w:p w:rsidR="00C35C16" w:rsidRPr="00C84E97" w:rsidRDefault="00C35C16" w:rsidP="00C35C16">
      <w:pPr>
        <w:pStyle w:val="References"/>
        <w:rPr>
          <w:color w:val="000000"/>
        </w:rPr>
      </w:pPr>
      <w:r w:rsidRPr="00C84E97">
        <w:rPr>
          <w:color w:val="000000"/>
        </w:rPr>
        <w:t xml:space="preserve">[13] J. Willis, D. Roemmich, B. Cornuelle, </w:t>
      </w:r>
      <w:r w:rsidRPr="00C84E97">
        <w:rPr>
          <w:i/>
          <w:color w:val="000000"/>
        </w:rPr>
        <w:t>J. Geophys. Res. C 109</w:t>
      </w:r>
      <w:r>
        <w:rPr>
          <w:color w:val="000000"/>
        </w:rPr>
        <w:t>, C12036, (2004</w:t>
      </w:r>
      <w:r w:rsidRPr="00C84E97">
        <w:rPr>
          <w:color w:val="000000"/>
        </w:rPr>
        <w:t>) doi:10.1029/2003JC002260.</w:t>
      </w:r>
    </w:p>
    <w:p w:rsidR="00C35C16" w:rsidRPr="00C84E97" w:rsidRDefault="00C35C16" w:rsidP="00C35C16">
      <w:pPr>
        <w:pStyle w:val="References"/>
        <w:rPr>
          <w:color w:val="000000"/>
        </w:rPr>
      </w:pPr>
      <w:r w:rsidRPr="00C84E97">
        <w:rPr>
          <w:color w:val="000000"/>
        </w:rPr>
        <w:t>[14] C. M. Domingues, J. A. Church, N. J. White, P. J. Gleckler, S. E. Wijffels, P. M. Barker, J. R. Dunn, Nature 453 (2008) 1090,  doi:10.1038/nature07080.</w:t>
      </w:r>
    </w:p>
    <w:p w:rsidR="00C35C16" w:rsidRPr="00C84E97" w:rsidRDefault="00C35C16" w:rsidP="00C35C16">
      <w:pPr>
        <w:pStyle w:val="References"/>
        <w:rPr>
          <w:color w:val="000000"/>
        </w:rPr>
      </w:pPr>
      <w:r w:rsidRPr="00C84E97">
        <w:rPr>
          <w:color w:val="000000"/>
        </w:rPr>
        <w:t>[15] C. M. Domingues, private communication (2008).</w:t>
      </w:r>
    </w:p>
    <w:p w:rsidR="00C35C16" w:rsidRPr="00C84E97" w:rsidRDefault="00C35C16" w:rsidP="00C35C16">
      <w:pPr>
        <w:pStyle w:val="References"/>
        <w:rPr>
          <w:color w:val="000000"/>
        </w:rPr>
      </w:pPr>
      <w:r w:rsidRPr="00C84E97">
        <w:rPr>
          <w:color w:val="000000"/>
        </w:rPr>
        <w:t xml:space="preserve">[16] S. Levitus, J. Antonov, T. Boyer, Geophys. Res. Lett. 32 (2005) L02604, doi:10.1029/2004GL021592 </w:t>
      </w:r>
    </w:p>
    <w:p w:rsidR="00C35C16" w:rsidRPr="00C84E97" w:rsidRDefault="00C35C16" w:rsidP="00C35C16">
      <w:pPr>
        <w:pStyle w:val="References"/>
        <w:rPr>
          <w:color w:val="000000"/>
        </w:rPr>
      </w:pPr>
      <w:r w:rsidRPr="00C84E97">
        <w:rPr>
          <w:color w:val="000000"/>
        </w:rPr>
        <w:t xml:space="preserve">[18] S. Levitus, J. I. Antonov, T. P. Boyer, R. A. Locarnini, H. E. Garcia, A. V. Mishonov, </w:t>
      </w:r>
      <w:r w:rsidRPr="00C84E97">
        <w:rPr>
          <w:i/>
          <w:color w:val="000000"/>
        </w:rPr>
        <w:t>Geophys. Res. Lett.</w:t>
      </w:r>
      <w:r>
        <w:rPr>
          <w:color w:val="000000"/>
        </w:rPr>
        <w:t xml:space="preserve"> (2009), doi:10.1029/2008GL037155</w:t>
      </w:r>
    </w:p>
    <w:p w:rsidR="00C35C16" w:rsidRPr="00C84E97" w:rsidRDefault="00C35C16" w:rsidP="00C35C16">
      <w:pPr>
        <w:pStyle w:val="References"/>
        <w:rPr>
          <w:color w:val="000000"/>
        </w:rPr>
      </w:pPr>
      <w:r w:rsidRPr="00C84E97">
        <w:rPr>
          <w:color w:val="000000"/>
        </w:rPr>
        <w:t>[19] J. Willis J., private communication (2008). Values after January 2008 are considered preliminary.</w:t>
      </w:r>
    </w:p>
    <w:p w:rsidR="00C35C16" w:rsidRPr="00C84E97" w:rsidRDefault="00C35C16" w:rsidP="00C35C16">
      <w:pPr>
        <w:pStyle w:val="References"/>
        <w:rPr>
          <w:color w:val="000000"/>
        </w:rPr>
      </w:pPr>
      <w:r w:rsidRPr="00C84E97">
        <w:rPr>
          <w:color w:val="000000"/>
        </w:rPr>
        <w:t>[22] N. Loeb and seven others, J. Climate 22 (2009) 748.  Doi: 10.1175/2008JCLI2637.1</w:t>
      </w:r>
    </w:p>
    <w:p w:rsidR="00C35C16" w:rsidRPr="00C84E97" w:rsidRDefault="00C35C16" w:rsidP="00C35C16">
      <w:pPr>
        <w:pStyle w:val="References"/>
        <w:rPr>
          <w:color w:val="000000"/>
        </w:rPr>
      </w:pPr>
      <w:r w:rsidRPr="00C84E97">
        <w:rPr>
          <w:color w:val="000000"/>
        </w:rPr>
        <w:t>[24] T. Wong, private communication. (2008).</w:t>
      </w:r>
    </w:p>
    <w:p w:rsidR="00C35C16" w:rsidRPr="00C84E97" w:rsidRDefault="00C35C16" w:rsidP="00C35C16">
      <w:pPr>
        <w:pStyle w:val="References"/>
        <w:rPr>
          <w:color w:val="000000"/>
        </w:rPr>
      </w:pPr>
      <w:r w:rsidRPr="00C84E97">
        <w:rPr>
          <w:color w:val="000000"/>
        </w:rPr>
        <w:t>[26] C. Loehle. Energy</w:t>
      </w:r>
      <w:r>
        <w:rPr>
          <w:color w:val="000000"/>
        </w:rPr>
        <w:t xml:space="preserve"> and Environment 20</w:t>
      </w:r>
      <w:r w:rsidRPr="00C84E97">
        <w:rPr>
          <w:color w:val="000000"/>
        </w:rPr>
        <w:t xml:space="preserve"> (2009)</w:t>
      </w:r>
      <w:r>
        <w:rPr>
          <w:color w:val="000000"/>
        </w:rPr>
        <w:t xml:space="preserve"> 99.</w:t>
      </w:r>
    </w:p>
    <w:p w:rsidR="00C35C16" w:rsidRPr="00C84E97" w:rsidRDefault="00C35C16" w:rsidP="00C35C16">
      <w:pPr>
        <w:pStyle w:val="References"/>
        <w:rPr>
          <w:color w:val="000000"/>
        </w:rPr>
      </w:pPr>
      <w:r w:rsidRPr="00C84E97">
        <w:rPr>
          <w:color w:val="000000"/>
        </w:rPr>
        <w:t>[28] J. Hansen and 14 others, Science 308  (2005) 1431.  doi:10.1126/science.1110252.</w:t>
      </w:r>
    </w:p>
    <w:p w:rsidR="00C35C16" w:rsidRPr="008F7CBB" w:rsidRDefault="00C35C16" w:rsidP="00C35C16"/>
    <w:p w:rsidR="00C35C16" w:rsidRPr="008F7CBB" w:rsidRDefault="00C35C16" w:rsidP="00C35C16"/>
    <w:p w:rsidR="00C35C16" w:rsidRPr="00736CA6" w:rsidRDefault="00C35C16" w:rsidP="00C35C16">
      <w:pPr>
        <w:rPr>
          <w:color w:val="FF0000"/>
        </w:rPr>
      </w:pPr>
      <w:r w:rsidRPr="008F7CBB">
        <w:t>Table S-1.  Ocean heat content (</w:t>
      </w:r>
      <w:r w:rsidRPr="001D3E2D">
        <w:rPr>
          <w:i/>
        </w:rPr>
        <w:t>H</w:t>
      </w:r>
      <w:r w:rsidRPr="001D3E2D">
        <w:rPr>
          <w:i/>
          <w:color w:val="000000"/>
          <w:sz w:val="28"/>
          <w:vertAlign w:val="subscript"/>
        </w:rPr>
        <w:t>O</w:t>
      </w:r>
      <w:r w:rsidRPr="008F7CBB">
        <w:t>), from various sources</w:t>
      </w:r>
      <w:r>
        <w:t xml:space="preserve"> as discussed in Sec. 4,</w:t>
      </w:r>
      <w:r w:rsidRPr="0061268B">
        <w:rPr>
          <w:color w:val="000000"/>
        </w:rPr>
        <w:t xml:space="preserve"> and </w:t>
      </w:r>
      <w:r w:rsidRPr="0061268B">
        <w:rPr>
          <w:i/>
          <w:color w:val="000000"/>
        </w:rPr>
        <w:t>F</w:t>
      </w:r>
      <w:r w:rsidRPr="0061268B">
        <w:rPr>
          <w:color w:val="000000"/>
          <w:vertAlign w:val="subscript"/>
        </w:rPr>
        <w:t>TOA</w:t>
      </w:r>
      <w:r w:rsidRPr="0061268B">
        <w:rPr>
          <w:color w:val="000000"/>
        </w:rPr>
        <w:t xml:space="preserve"> from CERES</w:t>
      </w:r>
    </w:p>
    <w:p w:rsidR="00C35C16" w:rsidRPr="008F7CBB" w:rsidRDefault="00C35C16" w:rsidP="00C35C16"/>
    <w:tbl>
      <w:tblPr>
        <w:tblW w:w="9540" w:type="dxa"/>
        <w:jc w:val="center"/>
        <w:tblInd w:w="828" w:type="dxa"/>
        <w:tblLayout w:type="fixed"/>
        <w:tblLook w:val="0000"/>
      </w:tblPr>
      <w:tblGrid>
        <w:gridCol w:w="1260"/>
        <w:gridCol w:w="1379"/>
        <w:gridCol w:w="323"/>
        <w:gridCol w:w="985"/>
        <w:gridCol w:w="985"/>
        <w:gridCol w:w="1008"/>
        <w:gridCol w:w="270"/>
        <w:gridCol w:w="990"/>
        <w:gridCol w:w="990"/>
        <w:gridCol w:w="1350"/>
      </w:tblGrid>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Domingues</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Domingues</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CERES</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CERES</w:t>
            </w: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CERES</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ARGO</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ARGO</w:t>
            </w: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ARGO</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year</w:t>
            </w:r>
          </w:p>
        </w:tc>
        <w:tc>
          <w:tcPr>
            <w:tcW w:w="1379" w:type="dxa"/>
            <w:tcBorders>
              <w:top w:val="single" w:sz="6" w:space="0" w:color="auto"/>
              <w:left w:val="single" w:sz="6" w:space="0" w:color="auto"/>
              <w:bottom w:val="single" w:sz="6" w:space="0" w:color="auto"/>
              <w:right w:val="single" w:sz="6" w:space="0" w:color="auto"/>
            </w:tcBorders>
          </w:tcPr>
          <w:p w:rsidR="00C35C16" w:rsidRPr="00B50C82" w:rsidRDefault="00C35C16" w:rsidP="00C35C16">
            <w:pPr>
              <w:widowControl w:val="0"/>
              <w:autoSpaceDE w:val="0"/>
              <w:autoSpaceDN w:val="0"/>
              <w:adjustRightInd w:val="0"/>
              <w:jc w:val="center"/>
              <w:rPr>
                <w:rFonts w:cs="Calibri"/>
                <w:color w:val="000000"/>
                <w:sz w:val="18"/>
                <w:szCs w:val="28"/>
              </w:rPr>
            </w:pPr>
            <w:r w:rsidRPr="001D3E2D">
              <w:rPr>
                <w:rFonts w:cs="Calibri"/>
                <w:i/>
                <w:color w:val="000000"/>
                <w:sz w:val="18"/>
                <w:szCs w:val="28"/>
              </w:rPr>
              <w:t>H</w:t>
            </w:r>
            <w:r w:rsidRPr="001D3E2D">
              <w:rPr>
                <w:rFonts w:cs="Calibri"/>
                <w:i/>
                <w:color w:val="000000"/>
                <w:sz w:val="22"/>
                <w:szCs w:val="28"/>
                <w:vertAlign w:val="subscript"/>
              </w:rPr>
              <w:t>O</w:t>
            </w:r>
            <w:r w:rsidRPr="001D3E2D">
              <w:rPr>
                <w:rFonts w:cs="Calibri"/>
                <w:i/>
                <w:color w:val="000000"/>
                <w:sz w:val="22"/>
                <w:szCs w:val="28"/>
              </w:rPr>
              <w:t xml:space="preserve">  </w:t>
            </w:r>
            <w:r w:rsidRPr="001D3E2D">
              <w:rPr>
                <w:rFonts w:cs="Calibri"/>
                <w:color w:val="000000"/>
                <w:sz w:val="22"/>
                <w:szCs w:val="28"/>
              </w:rPr>
              <w:t>(</w:t>
            </w:r>
            <w:r>
              <w:rPr>
                <w:rFonts w:cs="Calibri"/>
                <w:color w:val="000000"/>
                <w:sz w:val="18"/>
                <w:szCs w:val="28"/>
              </w:rPr>
              <w:t>10</w:t>
            </w:r>
            <w:r w:rsidRPr="005C4B01">
              <w:rPr>
                <w:rFonts w:cs="Calibri"/>
                <w:color w:val="000000"/>
                <w:sz w:val="18"/>
                <w:szCs w:val="28"/>
                <w:vertAlign w:val="superscript"/>
              </w:rPr>
              <w:t>22</w:t>
            </w:r>
            <w:r w:rsidRPr="005C4B01">
              <w:rPr>
                <w:rFonts w:cs="Calibri"/>
                <w:color w:val="000000"/>
                <w:sz w:val="18"/>
                <w:szCs w:val="28"/>
              </w:rPr>
              <w:t xml:space="preserve"> J)</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month</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year</w:t>
            </w: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Net (W/m</w:t>
            </w:r>
            <w:r w:rsidRPr="00B50C82">
              <w:rPr>
                <w:rFonts w:cs="Calibri"/>
                <w:color w:val="000000"/>
                <w:sz w:val="18"/>
                <w:szCs w:val="28"/>
                <w:vertAlign w:val="superscript"/>
              </w:rPr>
              <w:t>2</w:t>
            </w:r>
            <w:r w:rsidRPr="005C4B01">
              <w:rPr>
                <w:rFonts w:cs="Calibri"/>
                <w:color w:val="000000"/>
                <w:sz w:val="18"/>
                <w:szCs w:val="28"/>
              </w:rPr>
              <w:t>)</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month</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year</w:t>
            </w: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 xml:space="preserve">OHC </w:t>
            </w:r>
            <w:r w:rsidRPr="001D3E2D">
              <w:rPr>
                <w:rFonts w:cs="Calibri"/>
                <w:i/>
                <w:color w:val="000000"/>
                <w:sz w:val="22"/>
                <w:szCs w:val="28"/>
              </w:rPr>
              <w:t xml:space="preserve"> </w:t>
            </w:r>
            <w:r w:rsidRPr="001D3E2D">
              <w:rPr>
                <w:rFonts w:cs="Calibri"/>
                <w:color w:val="000000"/>
                <w:sz w:val="22"/>
                <w:szCs w:val="28"/>
              </w:rPr>
              <w:t>(</w:t>
            </w:r>
            <w:r>
              <w:rPr>
                <w:rFonts w:cs="Calibri"/>
                <w:color w:val="000000"/>
                <w:sz w:val="18"/>
                <w:szCs w:val="28"/>
              </w:rPr>
              <w:t>10</w:t>
            </w:r>
            <w:r w:rsidRPr="005C4B01">
              <w:rPr>
                <w:rFonts w:cs="Calibri"/>
                <w:color w:val="000000"/>
                <w:sz w:val="18"/>
                <w:szCs w:val="28"/>
                <w:vertAlign w:val="superscript"/>
              </w:rPr>
              <w:t>22</w:t>
            </w:r>
            <w:r w:rsidRPr="005C4B01">
              <w:rPr>
                <w:rFonts w:cs="Calibri"/>
                <w:color w:val="000000"/>
                <w:sz w:val="18"/>
                <w:szCs w:val="28"/>
              </w:rPr>
              <w:t xml:space="preserve"> J)</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1950.5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–6.3</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mar</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2000</w:t>
            </w: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6.425</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jul</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2003</w:t>
            </w: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–0.867</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1951.5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1.8</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apr</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1.951</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aug</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–3.165</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1952.5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–4.3</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may</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–5.451</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sep</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–4.183</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1953.5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–4.3</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jun</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–9.676</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oct</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–3.194</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1954.5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2.1</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jul</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–8.167</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nov</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0.191</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1955.5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–1</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aug</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–4.720</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dec</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0.243</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1956.5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1</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sep</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–1.178</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jan</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2004</w:t>
            </w: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–0.334</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1957.5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–0.1</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oct</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1.635</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feb</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1.334</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1958.5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10.6</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nov</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4.264</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mar</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3.463</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1959.5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0.7</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dec</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6.225</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apr</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3.896</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1960.5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1</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jan</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2001</w:t>
            </w: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9.629</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may</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3.306</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1961.5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0</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feb</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8.715</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jun</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2.857</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1962.5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3.7</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mar</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7.595</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jul</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–0.652</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1963.5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1.3</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apr</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1.552</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aug</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–1.615</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1964.5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–1.4</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may</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–5.728</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sep</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–1.993</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1965.5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–2.3</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jun</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–8.426</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oct</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–3.164</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1966.5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3.2</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jul</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–8.089</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nov</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–3.581</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1967.5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2.1</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aug</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–5.471</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dec</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–2.418</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1968.5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–2.3</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sep</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0.066</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jan</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2005</w:t>
            </w: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–1.515</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1969.5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–3</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oct</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1.584</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feb</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1.819</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1970.5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–2.3</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nov</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4.737</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mar</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1.836</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1971.5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1.8</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dec</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6.009</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apr</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1.889</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1972.5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–0.1</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jan</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2002</w:t>
            </w: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8.508</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may</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1.775</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1973.5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0.5</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feb</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8.920</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jun</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–1.316</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1974.5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0.3</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mar</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B50C82" w:rsidRDefault="00C35C16" w:rsidP="00C35C16">
            <w:pPr>
              <w:widowControl w:val="0"/>
              <w:autoSpaceDE w:val="0"/>
              <w:autoSpaceDN w:val="0"/>
              <w:adjustRightInd w:val="0"/>
              <w:jc w:val="center"/>
              <w:rPr>
                <w:rFonts w:cs="Calibri"/>
                <w:b/>
                <w:bCs/>
                <w:color w:val="000000"/>
                <w:sz w:val="18"/>
                <w:szCs w:val="28"/>
              </w:rPr>
            </w:pPr>
            <w:r w:rsidRPr="00B50C82">
              <w:rPr>
                <w:rFonts w:cs="Calibri"/>
                <w:b/>
                <w:bCs/>
                <w:color w:val="000000"/>
                <w:sz w:val="18"/>
                <w:szCs w:val="28"/>
              </w:rPr>
              <w:t>7.475</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jul</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–3.785</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1975.5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–0.3</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apr</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B50C82" w:rsidRDefault="00C35C16" w:rsidP="00C35C16">
            <w:pPr>
              <w:widowControl w:val="0"/>
              <w:autoSpaceDE w:val="0"/>
              <w:autoSpaceDN w:val="0"/>
              <w:adjustRightInd w:val="0"/>
              <w:jc w:val="center"/>
              <w:rPr>
                <w:rFonts w:cs="Calibri"/>
                <w:b/>
                <w:bCs/>
                <w:color w:val="000000"/>
                <w:sz w:val="18"/>
                <w:szCs w:val="28"/>
              </w:rPr>
            </w:pPr>
            <w:r w:rsidRPr="00B50C82">
              <w:rPr>
                <w:rFonts w:cs="Calibri"/>
                <w:b/>
                <w:bCs/>
                <w:color w:val="000000"/>
                <w:sz w:val="18"/>
                <w:szCs w:val="28"/>
              </w:rPr>
              <w:t>1.291</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aug</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–3.968</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1976.5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–2.3</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may</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B50C82" w:rsidRDefault="00C35C16" w:rsidP="00C35C16">
            <w:pPr>
              <w:widowControl w:val="0"/>
              <w:autoSpaceDE w:val="0"/>
              <w:autoSpaceDN w:val="0"/>
              <w:adjustRightInd w:val="0"/>
              <w:jc w:val="center"/>
              <w:rPr>
                <w:rFonts w:cs="Calibri"/>
                <w:b/>
                <w:bCs/>
                <w:color w:val="000000"/>
                <w:sz w:val="18"/>
                <w:szCs w:val="28"/>
              </w:rPr>
            </w:pPr>
            <w:r w:rsidRPr="00B50C82">
              <w:rPr>
                <w:rFonts w:cs="Calibri"/>
                <w:b/>
                <w:bCs/>
                <w:color w:val="000000"/>
                <w:sz w:val="18"/>
                <w:szCs w:val="28"/>
              </w:rPr>
              <w:t>–5.103</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sep</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–2.887</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1977.5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2.4</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jun</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B50C82" w:rsidRDefault="00C35C16" w:rsidP="00C35C16">
            <w:pPr>
              <w:widowControl w:val="0"/>
              <w:autoSpaceDE w:val="0"/>
              <w:autoSpaceDN w:val="0"/>
              <w:adjustRightInd w:val="0"/>
              <w:jc w:val="center"/>
              <w:rPr>
                <w:rFonts w:cs="Calibri"/>
                <w:b/>
                <w:bCs/>
                <w:color w:val="000000"/>
                <w:sz w:val="18"/>
                <w:szCs w:val="28"/>
              </w:rPr>
            </w:pPr>
            <w:r w:rsidRPr="00B50C82">
              <w:rPr>
                <w:rFonts w:cs="Calibri"/>
                <w:b/>
                <w:bCs/>
                <w:color w:val="000000"/>
                <w:sz w:val="18"/>
                <w:szCs w:val="28"/>
              </w:rPr>
              <w:t>–9.641</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oct</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–2.109</w:t>
            </w:r>
          </w:p>
        </w:tc>
      </w:tr>
      <w:tr w:rsidR="00C35C16" w:rsidRPr="005C4B01">
        <w:tblPrEx>
          <w:tblCellMar>
            <w:top w:w="0" w:type="dxa"/>
            <w:bottom w:w="0" w:type="dxa"/>
          </w:tblCellMar>
        </w:tblPrEx>
        <w:trPr>
          <w:trHeight w:val="35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1978.5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0</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jul</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B50C82" w:rsidRDefault="00C35C16" w:rsidP="00C35C16">
            <w:pPr>
              <w:widowControl w:val="0"/>
              <w:autoSpaceDE w:val="0"/>
              <w:autoSpaceDN w:val="0"/>
              <w:adjustRightInd w:val="0"/>
              <w:jc w:val="center"/>
              <w:rPr>
                <w:rFonts w:cs="Calibri"/>
                <w:b/>
                <w:bCs/>
                <w:color w:val="000000"/>
                <w:sz w:val="18"/>
                <w:szCs w:val="28"/>
              </w:rPr>
            </w:pPr>
            <w:r w:rsidRPr="00B50C82">
              <w:rPr>
                <w:rFonts w:cs="Calibri"/>
                <w:b/>
                <w:bCs/>
                <w:color w:val="000000"/>
                <w:sz w:val="18"/>
                <w:szCs w:val="28"/>
              </w:rPr>
              <w:t>–9.444</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nov</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–2.846</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1979.5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0.5</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aug</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B50C82" w:rsidRDefault="00C35C16" w:rsidP="00C35C16">
            <w:pPr>
              <w:widowControl w:val="0"/>
              <w:autoSpaceDE w:val="0"/>
              <w:autoSpaceDN w:val="0"/>
              <w:adjustRightInd w:val="0"/>
              <w:jc w:val="center"/>
              <w:rPr>
                <w:rFonts w:cs="Calibri"/>
                <w:b/>
                <w:bCs/>
                <w:color w:val="000000"/>
                <w:sz w:val="18"/>
                <w:szCs w:val="28"/>
              </w:rPr>
            </w:pPr>
            <w:r w:rsidRPr="00B50C82">
              <w:rPr>
                <w:rFonts w:cs="Calibri"/>
                <w:b/>
                <w:bCs/>
                <w:color w:val="000000"/>
                <w:sz w:val="18"/>
                <w:szCs w:val="28"/>
              </w:rPr>
              <w:t>–6.183</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dec</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1.604</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1980.5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7.4</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sep</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B50C82" w:rsidRDefault="00C35C16" w:rsidP="00C35C16">
            <w:pPr>
              <w:widowControl w:val="0"/>
              <w:autoSpaceDE w:val="0"/>
              <w:autoSpaceDN w:val="0"/>
              <w:adjustRightInd w:val="0"/>
              <w:jc w:val="center"/>
              <w:rPr>
                <w:rFonts w:cs="Calibri"/>
                <w:b/>
                <w:bCs/>
                <w:color w:val="000000"/>
                <w:sz w:val="18"/>
                <w:szCs w:val="28"/>
              </w:rPr>
            </w:pPr>
            <w:r w:rsidRPr="00B50C82">
              <w:rPr>
                <w:rFonts w:cs="Calibri"/>
                <w:b/>
                <w:bCs/>
                <w:color w:val="000000"/>
                <w:sz w:val="18"/>
                <w:szCs w:val="28"/>
              </w:rPr>
              <w:t>–1.222</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jan</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2006</w:t>
            </w: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1.682</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1981.5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3</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oct</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B50C82" w:rsidRDefault="00C35C16" w:rsidP="00C35C16">
            <w:pPr>
              <w:widowControl w:val="0"/>
              <w:autoSpaceDE w:val="0"/>
              <w:autoSpaceDN w:val="0"/>
              <w:adjustRightInd w:val="0"/>
              <w:jc w:val="center"/>
              <w:rPr>
                <w:rFonts w:cs="Calibri"/>
                <w:b/>
                <w:bCs/>
                <w:color w:val="000000"/>
                <w:sz w:val="18"/>
                <w:szCs w:val="28"/>
              </w:rPr>
            </w:pPr>
            <w:r w:rsidRPr="00B50C82">
              <w:rPr>
                <w:rFonts w:cs="Calibri"/>
                <w:b/>
                <w:bCs/>
                <w:color w:val="000000"/>
                <w:sz w:val="18"/>
                <w:szCs w:val="28"/>
              </w:rPr>
              <w:t>2.691</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feb</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1.722</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1982.5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3</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nov</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B50C82" w:rsidRDefault="00C35C16" w:rsidP="00C35C16">
            <w:pPr>
              <w:widowControl w:val="0"/>
              <w:autoSpaceDE w:val="0"/>
              <w:autoSpaceDN w:val="0"/>
              <w:adjustRightInd w:val="0"/>
              <w:jc w:val="center"/>
              <w:rPr>
                <w:rFonts w:cs="Calibri"/>
                <w:b/>
                <w:bCs/>
                <w:color w:val="000000"/>
                <w:sz w:val="18"/>
                <w:szCs w:val="28"/>
              </w:rPr>
            </w:pPr>
            <w:r w:rsidRPr="00B50C82">
              <w:rPr>
                <w:rFonts w:cs="Calibri"/>
                <w:b/>
                <w:bCs/>
                <w:color w:val="000000"/>
                <w:sz w:val="18"/>
                <w:szCs w:val="28"/>
              </w:rPr>
              <w:t>4.381</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mar</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2.502</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1983.5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3.9</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dec</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B50C82" w:rsidRDefault="00C35C16" w:rsidP="00C35C16">
            <w:pPr>
              <w:widowControl w:val="0"/>
              <w:autoSpaceDE w:val="0"/>
              <w:autoSpaceDN w:val="0"/>
              <w:adjustRightInd w:val="0"/>
              <w:jc w:val="center"/>
              <w:rPr>
                <w:rFonts w:cs="Calibri"/>
                <w:b/>
                <w:bCs/>
                <w:color w:val="000000"/>
                <w:sz w:val="18"/>
                <w:szCs w:val="28"/>
              </w:rPr>
            </w:pPr>
            <w:r w:rsidRPr="00B50C82">
              <w:rPr>
                <w:rFonts w:cs="Calibri"/>
                <w:b/>
                <w:bCs/>
                <w:color w:val="000000"/>
                <w:sz w:val="18"/>
                <w:szCs w:val="28"/>
              </w:rPr>
              <w:t>6.333</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apr</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1.755</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1984.5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3.3</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jan</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2003</w:t>
            </w:r>
          </w:p>
        </w:tc>
        <w:tc>
          <w:tcPr>
            <w:tcW w:w="1008" w:type="dxa"/>
            <w:tcBorders>
              <w:top w:val="single" w:sz="6" w:space="0" w:color="auto"/>
              <w:left w:val="single" w:sz="6" w:space="0" w:color="auto"/>
              <w:bottom w:val="single" w:sz="6" w:space="0" w:color="auto"/>
              <w:right w:val="single" w:sz="6" w:space="0" w:color="auto"/>
            </w:tcBorders>
          </w:tcPr>
          <w:p w:rsidR="00C35C16" w:rsidRPr="00B50C82" w:rsidRDefault="00C35C16" w:rsidP="00C35C16">
            <w:pPr>
              <w:widowControl w:val="0"/>
              <w:autoSpaceDE w:val="0"/>
              <w:autoSpaceDN w:val="0"/>
              <w:adjustRightInd w:val="0"/>
              <w:jc w:val="center"/>
              <w:rPr>
                <w:rFonts w:cs="Calibri"/>
                <w:b/>
                <w:bCs/>
                <w:color w:val="000000"/>
                <w:sz w:val="18"/>
                <w:szCs w:val="28"/>
              </w:rPr>
            </w:pPr>
            <w:r w:rsidRPr="00B50C82">
              <w:rPr>
                <w:rFonts w:cs="Calibri"/>
                <w:b/>
                <w:bCs/>
                <w:color w:val="000000"/>
                <w:sz w:val="18"/>
                <w:szCs w:val="28"/>
              </w:rPr>
              <w:t>7.975</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may</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2.090</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1985.5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1.7</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feb</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B50C82" w:rsidRDefault="00C35C16" w:rsidP="00C35C16">
            <w:pPr>
              <w:widowControl w:val="0"/>
              <w:autoSpaceDE w:val="0"/>
              <w:autoSpaceDN w:val="0"/>
              <w:adjustRightInd w:val="0"/>
              <w:jc w:val="center"/>
              <w:rPr>
                <w:rFonts w:cs="Calibri"/>
                <w:b/>
                <w:bCs/>
                <w:color w:val="000000"/>
                <w:sz w:val="18"/>
                <w:szCs w:val="28"/>
              </w:rPr>
            </w:pPr>
            <w:r w:rsidRPr="00B50C82">
              <w:rPr>
                <w:rFonts w:cs="Calibri"/>
                <w:b/>
                <w:bCs/>
                <w:color w:val="000000"/>
                <w:sz w:val="18"/>
                <w:szCs w:val="28"/>
              </w:rPr>
              <w:t>9.120</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jun</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1.570</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1986.5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4.9</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mar</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B50C82" w:rsidRDefault="00C35C16" w:rsidP="00C35C16">
            <w:pPr>
              <w:widowControl w:val="0"/>
              <w:autoSpaceDE w:val="0"/>
              <w:autoSpaceDN w:val="0"/>
              <w:adjustRightInd w:val="0"/>
              <w:jc w:val="center"/>
              <w:rPr>
                <w:rFonts w:cs="Calibri"/>
                <w:b/>
                <w:bCs/>
                <w:color w:val="000000"/>
                <w:sz w:val="18"/>
                <w:szCs w:val="28"/>
              </w:rPr>
            </w:pPr>
            <w:r w:rsidRPr="00B50C82">
              <w:rPr>
                <w:rFonts w:cs="Calibri"/>
                <w:b/>
                <w:bCs/>
                <w:color w:val="000000"/>
                <w:sz w:val="18"/>
                <w:szCs w:val="28"/>
              </w:rPr>
              <w:t>6.989</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jul</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–2.162</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1987.5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6.1</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apr</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B50C82" w:rsidRDefault="00C35C16" w:rsidP="00C35C16">
            <w:pPr>
              <w:widowControl w:val="0"/>
              <w:autoSpaceDE w:val="0"/>
              <w:autoSpaceDN w:val="0"/>
              <w:adjustRightInd w:val="0"/>
              <w:jc w:val="center"/>
              <w:rPr>
                <w:rFonts w:cs="Calibri"/>
                <w:b/>
                <w:bCs/>
                <w:color w:val="000000"/>
                <w:sz w:val="18"/>
                <w:szCs w:val="28"/>
              </w:rPr>
            </w:pPr>
            <w:r w:rsidRPr="00B50C82">
              <w:rPr>
                <w:rFonts w:cs="Calibri"/>
                <w:b/>
                <w:bCs/>
                <w:color w:val="000000"/>
                <w:sz w:val="18"/>
                <w:szCs w:val="28"/>
              </w:rPr>
              <w:t>1.974</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aug</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–3.420</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1988.5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7.3</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may</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B50C82" w:rsidRDefault="00C35C16" w:rsidP="00C35C16">
            <w:pPr>
              <w:widowControl w:val="0"/>
              <w:autoSpaceDE w:val="0"/>
              <w:autoSpaceDN w:val="0"/>
              <w:adjustRightInd w:val="0"/>
              <w:jc w:val="center"/>
              <w:rPr>
                <w:rFonts w:cs="Calibri"/>
                <w:b/>
                <w:bCs/>
                <w:color w:val="000000"/>
                <w:sz w:val="18"/>
                <w:szCs w:val="28"/>
              </w:rPr>
            </w:pPr>
            <w:r w:rsidRPr="00B50C82">
              <w:rPr>
                <w:rFonts w:cs="Calibri"/>
                <w:b/>
                <w:bCs/>
                <w:color w:val="000000"/>
                <w:sz w:val="18"/>
                <w:szCs w:val="28"/>
              </w:rPr>
              <w:t>–5.697</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sep</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–3.344</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1989.5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9.2</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jun</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B50C82" w:rsidRDefault="00C35C16" w:rsidP="00C35C16">
            <w:pPr>
              <w:widowControl w:val="0"/>
              <w:autoSpaceDE w:val="0"/>
              <w:autoSpaceDN w:val="0"/>
              <w:adjustRightInd w:val="0"/>
              <w:jc w:val="center"/>
              <w:rPr>
                <w:rFonts w:cs="Calibri"/>
                <w:b/>
                <w:bCs/>
                <w:color w:val="000000"/>
                <w:sz w:val="18"/>
                <w:szCs w:val="28"/>
              </w:rPr>
            </w:pPr>
            <w:r w:rsidRPr="00B50C82">
              <w:rPr>
                <w:rFonts w:cs="Calibri"/>
                <w:b/>
                <w:bCs/>
                <w:color w:val="000000"/>
                <w:sz w:val="18"/>
                <w:szCs w:val="28"/>
              </w:rPr>
              <w:t>–8.929</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oct</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–2.117</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1990.5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7.1</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jul</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B50C82" w:rsidRDefault="00C35C16" w:rsidP="00C35C16">
            <w:pPr>
              <w:widowControl w:val="0"/>
              <w:autoSpaceDE w:val="0"/>
              <w:autoSpaceDN w:val="0"/>
              <w:adjustRightInd w:val="0"/>
              <w:jc w:val="center"/>
              <w:rPr>
                <w:rFonts w:cs="Calibri"/>
                <w:b/>
                <w:bCs/>
                <w:color w:val="000000"/>
                <w:sz w:val="18"/>
                <w:szCs w:val="28"/>
              </w:rPr>
            </w:pPr>
            <w:r w:rsidRPr="00B50C82">
              <w:rPr>
                <w:rFonts w:cs="Calibri"/>
                <w:b/>
                <w:bCs/>
                <w:color w:val="000000"/>
                <w:sz w:val="18"/>
                <w:szCs w:val="28"/>
              </w:rPr>
              <w:t>–8.340</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nov</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–2.482</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1991.5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8.5</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aug</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B50C82" w:rsidRDefault="00C35C16" w:rsidP="00C35C16">
            <w:pPr>
              <w:widowControl w:val="0"/>
              <w:autoSpaceDE w:val="0"/>
              <w:autoSpaceDN w:val="0"/>
              <w:adjustRightInd w:val="0"/>
              <w:jc w:val="center"/>
              <w:rPr>
                <w:rFonts w:cs="Calibri"/>
                <w:b/>
                <w:bCs/>
                <w:color w:val="000000"/>
                <w:sz w:val="18"/>
                <w:szCs w:val="28"/>
              </w:rPr>
            </w:pPr>
            <w:r w:rsidRPr="00B50C82">
              <w:rPr>
                <w:rFonts w:cs="Calibri"/>
                <w:b/>
                <w:bCs/>
                <w:color w:val="000000"/>
                <w:sz w:val="18"/>
                <w:szCs w:val="28"/>
              </w:rPr>
              <w:t>–4.313</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dec</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–0.650</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1992.5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6</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sep</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B50C82" w:rsidRDefault="00C35C16" w:rsidP="00C35C16">
            <w:pPr>
              <w:widowControl w:val="0"/>
              <w:autoSpaceDE w:val="0"/>
              <w:autoSpaceDN w:val="0"/>
              <w:adjustRightInd w:val="0"/>
              <w:jc w:val="center"/>
              <w:rPr>
                <w:rFonts w:cs="Calibri"/>
                <w:b/>
                <w:bCs/>
                <w:color w:val="000000"/>
                <w:sz w:val="18"/>
                <w:szCs w:val="28"/>
              </w:rPr>
            </w:pPr>
            <w:r w:rsidRPr="00B50C82">
              <w:rPr>
                <w:rFonts w:cs="Calibri"/>
                <w:b/>
                <w:bCs/>
                <w:color w:val="000000"/>
                <w:sz w:val="18"/>
                <w:szCs w:val="28"/>
              </w:rPr>
              <w:t>–0.725</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jan</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2007</w:t>
            </w: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–0.691</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1993.5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7.7</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oct</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B50C82" w:rsidRDefault="00C35C16" w:rsidP="00C35C16">
            <w:pPr>
              <w:widowControl w:val="0"/>
              <w:autoSpaceDE w:val="0"/>
              <w:autoSpaceDN w:val="0"/>
              <w:adjustRightInd w:val="0"/>
              <w:jc w:val="center"/>
              <w:rPr>
                <w:rFonts w:cs="Calibri"/>
                <w:b/>
                <w:bCs/>
                <w:color w:val="000000"/>
                <w:sz w:val="18"/>
                <w:szCs w:val="28"/>
              </w:rPr>
            </w:pPr>
            <w:r w:rsidRPr="00B50C82">
              <w:rPr>
                <w:rFonts w:cs="Calibri"/>
                <w:b/>
                <w:bCs/>
                <w:color w:val="000000"/>
                <w:sz w:val="18"/>
                <w:szCs w:val="28"/>
              </w:rPr>
              <w:t>2.049</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feb</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0.087</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1994.5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8.6</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nov</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B50C82" w:rsidRDefault="00C35C16" w:rsidP="00C35C16">
            <w:pPr>
              <w:widowControl w:val="0"/>
              <w:autoSpaceDE w:val="0"/>
              <w:autoSpaceDN w:val="0"/>
              <w:adjustRightInd w:val="0"/>
              <w:jc w:val="center"/>
              <w:rPr>
                <w:rFonts w:cs="Calibri"/>
                <w:b/>
                <w:bCs/>
                <w:color w:val="000000"/>
                <w:sz w:val="18"/>
                <w:szCs w:val="28"/>
              </w:rPr>
            </w:pPr>
            <w:r w:rsidRPr="00B50C82">
              <w:rPr>
                <w:rFonts w:cs="Calibri"/>
                <w:b/>
                <w:bCs/>
                <w:color w:val="000000"/>
                <w:sz w:val="18"/>
                <w:szCs w:val="28"/>
              </w:rPr>
              <w:t>4.440</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mar</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0.612</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1995.5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8.2</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dec</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B50C82" w:rsidRDefault="00C35C16" w:rsidP="00C35C16">
            <w:pPr>
              <w:widowControl w:val="0"/>
              <w:autoSpaceDE w:val="0"/>
              <w:autoSpaceDN w:val="0"/>
              <w:adjustRightInd w:val="0"/>
              <w:jc w:val="center"/>
              <w:rPr>
                <w:rFonts w:cs="Calibri"/>
                <w:b/>
                <w:bCs/>
                <w:color w:val="000000"/>
                <w:sz w:val="18"/>
                <w:szCs w:val="28"/>
              </w:rPr>
            </w:pPr>
            <w:r w:rsidRPr="00B50C82">
              <w:rPr>
                <w:rFonts w:cs="Calibri"/>
                <w:b/>
                <w:bCs/>
                <w:color w:val="000000"/>
                <w:sz w:val="18"/>
                <w:szCs w:val="28"/>
              </w:rPr>
              <w:t>6.047</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apr</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0.393</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1996.5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11.2</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jan</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2004</w:t>
            </w:r>
          </w:p>
        </w:tc>
        <w:tc>
          <w:tcPr>
            <w:tcW w:w="1008" w:type="dxa"/>
            <w:tcBorders>
              <w:top w:val="single" w:sz="6" w:space="0" w:color="auto"/>
              <w:left w:val="single" w:sz="6" w:space="0" w:color="auto"/>
              <w:bottom w:val="single" w:sz="6" w:space="0" w:color="auto"/>
              <w:right w:val="single" w:sz="6" w:space="0" w:color="auto"/>
            </w:tcBorders>
          </w:tcPr>
          <w:p w:rsidR="00C35C16" w:rsidRPr="00B50C82" w:rsidRDefault="00C35C16" w:rsidP="00C35C16">
            <w:pPr>
              <w:widowControl w:val="0"/>
              <w:autoSpaceDE w:val="0"/>
              <w:autoSpaceDN w:val="0"/>
              <w:adjustRightInd w:val="0"/>
              <w:jc w:val="center"/>
              <w:rPr>
                <w:rFonts w:cs="Calibri"/>
                <w:b/>
                <w:bCs/>
                <w:color w:val="000000"/>
                <w:sz w:val="18"/>
                <w:szCs w:val="28"/>
              </w:rPr>
            </w:pPr>
            <w:r w:rsidRPr="00B50C82">
              <w:rPr>
                <w:rFonts w:cs="Calibri"/>
                <w:b/>
                <w:bCs/>
                <w:color w:val="000000"/>
                <w:sz w:val="18"/>
                <w:szCs w:val="28"/>
              </w:rPr>
              <w:t>9.117</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may</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0.162</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1997.5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11.6</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feb</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B50C82" w:rsidRDefault="00C35C16" w:rsidP="00C35C16">
            <w:pPr>
              <w:widowControl w:val="0"/>
              <w:autoSpaceDE w:val="0"/>
              <w:autoSpaceDN w:val="0"/>
              <w:adjustRightInd w:val="0"/>
              <w:jc w:val="center"/>
              <w:rPr>
                <w:rFonts w:cs="Calibri"/>
                <w:b/>
                <w:bCs/>
                <w:color w:val="000000"/>
                <w:sz w:val="18"/>
                <w:szCs w:val="28"/>
              </w:rPr>
            </w:pPr>
            <w:r w:rsidRPr="00B50C82">
              <w:rPr>
                <w:rFonts w:cs="Calibri"/>
                <w:b/>
                <w:bCs/>
                <w:color w:val="000000"/>
                <w:sz w:val="18"/>
                <w:szCs w:val="28"/>
              </w:rPr>
              <w:t>9.721</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jun</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–1.586</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1998.5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7.9</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mar</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B50C82" w:rsidRDefault="00C35C16" w:rsidP="00C35C16">
            <w:pPr>
              <w:widowControl w:val="0"/>
              <w:autoSpaceDE w:val="0"/>
              <w:autoSpaceDN w:val="0"/>
              <w:adjustRightInd w:val="0"/>
              <w:jc w:val="center"/>
              <w:rPr>
                <w:rFonts w:cs="Calibri"/>
                <w:b/>
                <w:bCs/>
                <w:color w:val="000000"/>
                <w:sz w:val="18"/>
                <w:szCs w:val="28"/>
              </w:rPr>
            </w:pPr>
            <w:r w:rsidRPr="00B50C82">
              <w:rPr>
                <w:rFonts w:cs="Calibri"/>
                <w:b/>
                <w:bCs/>
                <w:color w:val="000000"/>
                <w:sz w:val="18"/>
                <w:szCs w:val="28"/>
              </w:rPr>
              <w:t>5.973</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jul</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–1.642</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1999.5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7.8</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apr</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B50C82" w:rsidRDefault="00C35C16" w:rsidP="00C35C16">
            <w:pPr>
              <w:widowControl w:val="0"/>
              <w:autoSpaceDE w:val="0"/>
              <w:autoSpaceDN w:val="0"/>
              <w:adjustRightInd w:val="0"/>
              <w:jc w:val="center"/>
              <w:rPr>
                <w:rFonts w:cs="Calibri"/>
                <w:b/>
                <w:bCs/>
                <w:color w:val="000000"/>
                <w:sz w:val="18"/>
                <w:szCs w:val="28"/>
              </w:rPr>
            </w:pPr>
            <w:r w:rsidRPr="00B50C82">
              <w:rPr>
                <w:rFonts w:cs="Calibri"/>
                <w:b/>
                <w:bCs/>
                <w:color w:val="000000"/>
                <w:sz w:val="18"/>
                <w:szCs w:val="28"/>
              </w:rPr>
              <w:t>2.840</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aug</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–5.994</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2000.5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9.1</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may</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B50C82" w:rsidRDefault="00C35C16" w:rsidP="00C35C16">
            <w:pPr>
              <w:widowControl w:val="0"/>
              <w:autoSpaceDE w:val="0"/>
              <w:autoSpaceDN w:val="0"/>
              <w:adjustRightInd w:val="0"/>
              <w:jc w:val="center"/>
              <w:rPr>
                <w:rFonts w:cs="Calibri"/>
                <w:b/>
                <w:bCs/>
                <w:color w:val="000000"/>
                <w:sz w:val="18"/>
                <w:szCs w:val="28"/>
              </w:rPr>
            </w:pPr>
            <w:r w:rsidRPr="00B50C82">
              <w:rPr>
                <w:rFonts w:cs="Calibri"/>
                <w:b/>
                <w:bCs/>
                <w:color w:val="000000"/>
                <w:sz w:val="18"/>
                <w:szCs w:val="28"/>
              </w:rPr>
              <w:t>–5.952</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sep</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–4.272</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2001.5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10.4</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jun</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B50C82" w:rsidRDefault="00C35C16" w:rsidP="00C35C16">
            <w:pPr>
              <w:widowControl w:val="0"/>
              <w:autoSpaceDE w:val="0"/>
              <w:autoSpaceDN w:val="0"/>
              <w:adjustRightInd w:val="0"/>
              <w:jc w:val="center"/>
              <w:rPr>
                <w:rFonts w:cs="Calibri"/>
                <w:b/>
                <w:bCs/>
                <w:color w:val="000000"/>
                <w:sz w:val="18"/>
                <w:szCs w:val="28"/>
              </w:rPr>
            </w:pPr>
            <w:r w:rsidRPr="00B50C82">
              <w:rPr>
                <w:rFonts w:cs="Calibri"/>
                <w:b/>
                <w:bCs/>
                <w:color w:val="000000"/>
                <w:sz w:val="18"/>
                <w:szCs w:val="28"/>
              </w:rPr>
              <w:t>–9.928</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oct</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–3.422</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2002.5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13.5</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jul</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B50C82" w:rsidRDefault="00C35C16" w:rsidP="00C35C16">
            <w:pPr>
              <w:widowControl w:val="0"/>
              <w:autoSpaceDE w:val="0"/>
              <w:autoSpaceDN w:val="0"/>
              <w:adjustRightInd w:val="0"/>
              <w:jc w:val="center"/>
              <w:rPr>
                <w:rFonts w:cs="Calibri"/>
                <w:b/>
                <w:bCs/>
                <w:color w:val="000000"/>
                <w:sz w:val="18"/>
                <w:szCs w:val="28"/>
              </w:rPr>
            </w:pPr>
            <w:r w:rsidRPr="00B50C82">
              <w:rPr>
                <w:rFonts w:cs="Calibri"/>
                <w:b/>
                <w:bCs/>
                <w:color w:val="000000"/>
                <w:sz w:val="18"/>
                <w:szCs w:val="28"/>
              </w:rPr>
              <w:t>–7.360</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nov</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0.003</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2003.5</w:t>
            </w: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11.8</w:t>
            </w: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aug</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–4.507</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dec</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–0.204</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sep</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-0.207</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jan</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2008</w:t>
            </w: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0.742</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oct</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2.036</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feb</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4.926</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nov</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4.901</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mar</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3.466</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dec</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7.728</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apr</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4.837</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jan</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2005</w:t>
            </w: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8.736</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may</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3.339</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feb</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8.615</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jun</w:t>
            </w: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0.967</w:t>
            </w: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mar</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7.210</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apr</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1.988</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may</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–3.631</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r w:rsidRPr="005C4B01">
              <w:rPr>
                <w:rFonts w:cs="Calibri"/>
                <w:color w:val="000000"/>
                <w:sz w:val="18"/>
                <w:szCs w:val="28"/>
              </w:rPr>
              <w:t>jun</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b/>
                <w:bCs/>
                <w:color w:val="000000"/>
                <w:sz w:val="18"/>
                <w:szCs w:val="28"/>
              </w:rPr>
            </w:pPr>
            <w:r w:rsidRPr="005C4B01">
              <w:rPr>
                <w:rFonts w:cs="Calibri"/>
                <w:b/>
                <w:bCs/>
                <w:color w:val="000000"/>
                <w:sz w:val="18"/>
                <w:szCs w:val="28"/>
              </w:rPr>
              <w:t>–9.083</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cs="Calibri"/>
                <w:color w:val="000000"/>
                <w:sz w:val="18"/>
                <w:szCs w:val="28"/>
              </w:rPr>
            </w:pP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color w:val="000000"/>
                <w:sz w:val="18"/>
                <w:szCs w:val="28"/>
              </w:rPr>
            </w:pP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color w:val="000000"/>
                <w:sz w:val="18"/>
                <w:szCs w:val="28"/>
              </w:rPr>
            </w:pP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color w:val="000000"/>
                <w:sz w:val="18"/>
                <w:szCs w:val="28"/>
              </w:rPr>
            </w:pPr>
            <w:r w:rsidRPr="005C4B01">
              <w:rPr>
                <w:rFonts w:ascii="Calibri" w:hAnsi="Calibri" w:cs="Calibri"/>
                <w:color w:val="000000"/>
                <w:sz w:val="18"/>
                <w:szCs w:val="28"/>
              </w:rPr>
              <w:t>jul</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b/>
                <w:bCs/>
                <w:color w:val="000000"/>
                <w:sz w:val="18"/>
                <w:szCs w:val="28"/>
              </w:rPr>
            </w:pPr>
            <w:r w:rsidRPr="005C4B01">
              <w:rPr>
                <w:rFonts w:cs="Calibri"/>
                <w:b/>
                <w:bCs/>
                <w:color w:val="000000"/>
                <w:sz w:val="18"/>
                <w:szCs w:val="28"/>
              </w:rPr>
              <w:t>–</w:t>
            </w:r>
            <w:r w:rsidRPr="005C4B01">
              <w:rPr>
                <w:rFonts w:ascii="Calibri" w:hAnsi="Calibri" w:cs="Calibri"/>
                <w:b/>
                <w:bCs/>
                <w:color w:val="000000"/>
                <w:sz w:val="18"/>
                <w:szCs w:val="28"/>
              </w:rPr>
              <w:t>8.982</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color w:val="000000"/>
                <w:sz w:val="18"/>
                <w:szCs w:val="28"/>
              </w:rPr>
            </w:pP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color w:val="000000"/>
                <w:sz w:val="18"/>
                <w:szCs w:val="28"/>
              </w:rPr>
            </w:pP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color w:val="000000"/>
                <w:sz w:val="18"/>
                <w:szCs w:val="28"/>
              </w:rPr>
            </w:pP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color w:val="000000"/>
                <w:sz w:val="18"/>
                <w:szCs w:val="28"/>
              </w:rPr>
            </w:pPr>
            <w:r w:rsidRPr="005C4B01">
              <w:rPr>
                <w:rFonts w:ascii="Calibri" w:hAnsi="Calibri" w:cs="Calibri"/>
                <w:color w:val="000000"/>
                <w:sz w:val="18"/>
                <w:szCs w:val="28"/>
              </w:rPr>
              <w:t>aug</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b/>
                <w:bCs/>
                <w:color w:val="000000"/>
                <w:sz w:val="18"/>
                <w:szCs w:val="28"/>
              </w:rPr>
            </w:pPr>
            <w:r w:rsidRPr="005C4B01">
              <w:rPr>
                <w:rFonts w:cs="Calibri"/>
                <w:b/>
                <w:bCs/>
                <w:color w:val="000000"/>
                <w:sz w:val="18"/>
                <w:szCs w:val="28"/>
              </w:rPr>
              <w:t>–</w:t>
            </w:r>
            <w:r w:rsidRPr="005C4B01">
              <w:rPr>
                <w:rFonts w:ascii="Calibri" w:hAnsi="Calibri" w:cs="Calibri"/>
                <w:b/>
                <w:bCs/>
                <w:color w:val="000000"/>
                <w:sz w:val="18"/>
                <w:szCs w:val="28"/>
              </w:rPr>
              <w:t>5.188</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color w:val="000000"/>
                <w:sz w:val="18"/>
                <w:szCs w:val="28"/>
              </w:rPr>
            </w:pP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color w:val="000000"/>
                <w:sz w:val="18"/>
                <w:szCs w:val="28"/>
              </w:rPr>
            </w:pP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color w:val="000000"/>
                <w:sz w:val="18"/>
                <w:szCs w:val="28"/>
              </w:rPr>
            </w:pP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color w:val="000000"/>
                <w:sz w:val="18"/>
                <w:szCs w:val="28"/>
              </w:rPr>
            </w:pPr>
            <w:r w:rsidRPr="005C4B01">
              <w:rPr>
                <w:rFonts w:ascii="Calibri" w:hAnsi="Calibri" w:cs="Calibri"/>
                <w:color w:val="000000"/>
                <w:sz w:val="18"/>
                <w:szCs w:val="28"/>
              </w:rPr>
              <w:t>sep</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b/>
                <w:bCs/>
                <w:color w:val="000000"/>
                <w:sz w:val="18"/>
                <w:szCs w:val="28"/>
              </w:rPr>
            </w:pPr>
            <w:r w:rsidRPr="005C4B01">
              <w:rPr>
                <w:rFonts w:cs="Calibri"/>
                <w:b/>
                <w:bCs/>
                <w:color w:val="000000"/>
                <w:sz w:val="18"/>
                <w:szCs w:val="28"/>
              </w:rPr>
              <w:t>–</w:t>
            </w:r>
            <w:r w:rsidRPr="005C4B01">
              <w:rPr>
                <w:rFonts w:ascii="Calibri" w:hAnsi="Calibri" w:cs="Calibri"/>
                <w:b/>
                <w:bCs/>
                <w:color w:val="000000"/>
                <w:sz w:val="18"/>
                <w:szCs w:val="28"/>
              </w:rPr>
              <w:t>0.431</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color w:val="000000"/>
                <w:sz w:val="18"/>
                <w:szCs w:val="28"/>
              </w:rPr>
            </w:pPr>
          </w:p>
        </w:tc>
      </w:tr>
      <w:tr w:rsidR="00C35C16" w:rsidRPr="005C4B01">
        <w:tblPrEx>
          <w:tblCellMar>
            <w:top w:w="0" w:type="dxa"/>
            <w:bottom w:w="0" w:type="dxa"/>
          </w:tblCellMar>
        </w:tblPrEx>
        <w:trPr>
          <w:trHeight w:val="274"/>
          <w:jc w:val="center"/>
        </w:trPr>
        <w:tc>
          <w:tcPr>
            <w:tcW w:w="126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color w:val="000000"/>
                <w:sz w:val="18"/>
                <w:szCs w:val="28"/>
              </w:rPr>
            </w:pPr>
          </w:p>
        </w:tc>
        <w:tc>
          <w:tcPr>
            <w:tcW w:w="1379"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color w:val="000000"/>
                <w:sz w:val="18"/>
                <w:szCs w:val="28"/>
              </w:rPr>
            </w:pPr>
          </w:p>
        </w:tc>
        <w:tc>
          <w:tcPr>
            <w:tcW w:w="323"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color w:val="000000"/>
                <w:sz w:val="18"/>
                <w:szCs w:val="28"/>
              </w:rPr>
            </w:pP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color w:val="000000"/>
                <w:sz w:val="18"/>
                <w:szCs w:val="28"/>
              </w:rPr>
            </w:pPr>
            <w:r w:rsidRPr="005C4B01">
              <w:rPr>
                <w:rFonts w:ascii="Calibri" w:hAnsi="Calibri" w:cs="Calibri"/>
                <w:color w:val="000000"/>
                <w:sz w:val="18"/>
                <w:szCs w:val="28"/>
              </w:rPr>
              <w:t>oct</w:t>
            </w:r>
          </w:p>
        </w:tc>
        <w:tc>
          <w:tcPr>
            <w:tcW w:w="985"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color w:val="000000"/>
                <w:sz w:val="18"/>
                <w:szCs w:val="28"/>
              </w:rPr>
            </w:pPr>
          </w:p>
        </w:tc>
        <w:tc>
          <w:tcPr>
            <w:tcW w:w="1008"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b/>
                <w:bCs/>
                <w:color w:val="000000"/>
                <w:sz w:val="18"/>
                <w:szCs w:val="28"/>
              </w:rPr>
            </w:pPr>
            <w:r w:rsidRPr="005C4B01">
              <w:rPr>
                <w:rFonts w:ascii="Calibri" w:hAnsi="Calibri" w:cs="Calibri"/>
                <w:b/>
                <w:bCs/>
                <w:color w:val="000000"/>
                <w:sz w:val="18"/>
                <w:szCs w:val="28"/>
              </w:rPr>
              <w:t>2.039</w:t>
            </w:r>
          </w:p>
        </w:tc>
        <w:tc>
          <w:tcPr>
            <w:tcW w:w="27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color w:val="000000"/>
                <w:sz w:val="18"/>
                <w:szCs w:val="28"/>
              </w:rPr>
            </w:pPr>
          </w:p>
        </w:tc>
        <w:tc>
          <w:tcPr>
            <w:tcW w:w="99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color w:val="000000"/>
                <w:sz w:val="18"/>
                <w:szCs w:val="28"/>
              </w:rPr>
            </w:pPr>
          </w:p>
        </w:tc>
        <w:tc>
          <w:tcPr>
            <w:tcW w:w="1350" w:type="dxa"/>
            <w:tcBorders>
              <w:top w:val="single" w:sz="6" w:space="0" w:color="auto"/>
              <w:left w:val="single" w:sz="6" w:space="0" w:color="auto"/>
              <w:bottom w:val="single" w:sz="6" w:space="0" w:color="auto"/>
              <w:right w:val="single" w:sz="6" w:space="0" w:color="auto"/>
            </w:tcBorders>
          </w:tcPr>
          <w:p w:rsidR="00C35C16" w:rsidRPr="005C4B01" w:rsidRDefault="00C35C16" w:rsidP="00C35C16">
            <w:pPr>
              <w:widowControl w:val="0"/>
              <w:autoSpaceDE w:val="0"/>
              <w:autoSpaceDN w:val="0"/>
              <w:adjustRightInd w:val="0"/>
              <w:jc w:val="center"/>
              <w:rPr>
                <w:rFonts w:ascii="Calibri" w:hAnsi="Calibri" w:cs="Calibri"/>
                <w:color w:val="000000"/>
                <w:sz w:val="18"/>
                <w:szCs w:val="28"/>
              </w:rPr>
            </w:pPr>
          </w:p>
        </w:tc>
      </w:tr>
    </w:tbl>
    <w:p w:rsidR="00C35C16" w:rsidRDefault="00C35C16" w:rsidP="00C35C16"/>
    <w:p w:rsidR="00C35C16" w:rsidRDefault="00C35C16" w:rsidP="00C35C16"/>
    <w:p w:rsidR="00C35C16" w:rsidRPr="00832C1C" w:rsidRDefault="00C35C16" w:rsidP="00C35C16">
      <w:pPr>
        <w:rPr>
          <w:color w:val="FF0000"/>
        </w:rPr>
      </w:pPr>
      <w:r>
        <w:br w:type="page"/>
        <w:t>Table S-2.  Properties of the top-of-atmosphere radiation balance during 2000-2008 as measured (CERES) and as implied by ocean heat content variation (Argo), compared with the principal forcing (solar eccentricity effect</w:t>
      </w:r>
      <w:r w:rsidRPr="002566A4">
        <w:rPr>
          <w:color w:val="000000" w:themeColor="text1"/>
        </w:rPr>
        <w:t>).</w:t>
      </w:r>
      <w:bookmarkStart w:id="3" w:name="OLE_LINK33"/>
      <w:bookmarkStart w:id="4" w:name="OLE_LINK34"/>
      <w:r w:rsidRPr="002566A4">
        <w:rPr>
          <w:color w:val="000000" w:themeColor="text1"/>
        </w:rPr>
        <w:t xml:space="preserve">  </w:t>
      </w:r>
      <w:r w:rsidRPr="002566A4">
        <w:rPr>
          <w:i/>
          <w:color w:val="000000" w:themeColor="text1"/>
        </w:rPr>
        <w:t>F</w:t>
      </w:r>
      <w:r w:rsidRPr="002566A4">
        <w:rPr>
          <w:rFonts w:eastAsia="Times New Roman"/>
          <w:color w:val="000000" w:themeColor="text1"/>
          <w:sz w:val="28"/>
          <w:vertAlign w:val="subscript"/>
        </w:rPr>
        <w:t>TOA</w:t>
      </w:r>
      <w:r w:rsidRPr="002566A4">
        <w:rPr>
          <w:color w:val="000000" w:themeColor="text1"/>
        </w:rPr>
        <w:t xml:space="preserve"> values are in W/m</w:t>
      </w:r>
      <w:r w:rsidRPr="002566A4">
        <w:rPr>
          <w:rFonts w:eastAsia="Times New Roman"/>
          <w:color w:val="000000" w:themeColor="text1"/>
          <w:sz w:val="28"/>
          <w:vertAlign w:val="superscript"/>
        </w:rPr>
        <w:t>2</w:t>
      </w:r>
      <w:r w:rsidRPr="002566A4">
        <w:rPr>
          <w:color w:val="000000" w:themeColor="text1"/>
        </w:rPr>
        <w:t>.</w:t>
      </w:r>
      <w:bookmarkEnd w:id="3"/>
      <w:bookmarkEnd w:id="4"/>
    </w:p>
    <w:p w:rsidR="00C35C16" w:rsidRDefault="00C35C16" w:rsidP="00C35C16"/>
    <w:tbl>
      <w:tblPr>
        <w:tblW w:w="8460" w:type="dxa"/>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1"/>
        <w:gridCol w:w="2148"/>
        <w:gridCol w:w="2148"/>
        <w:gridCol w:w="1205"/>
        <w:gridCol w:w="1618"/>
      </w:tblGrid>
      <w:tr w:rsidR="00C35C16" w:rsidRPr="00B50C82">
        <w:trPr>
          <w:trHeight w:val="720"/>
        </w:trPr>
        <w:tc>
          <w:tcPr>
            <w:tcW w:w="1341" w:type="dxa"/>
            <w:vAlign w:val="center"/>
          </w:tcPr>
          <w:p w:rsidR="00C35C16" w:rsidRPr="00B50C82" w:rsidRDefault="00C35C16">
            <w:pPr>
              <w:rPr>
                <w:b/>
                <w:sz w:val="20"/>
              </w:rPr>
            </w:pPr>
          </w:p>
        </w:tc>
        <w:tc>
          <w:tcPr>
            <w:tcW w:w="2148" w:type="dxa"/>
            <w:vAlign w:val="center"/>
          </w:tcPr>
          <w:p w:rsidR="00C35C16" w:rsidRPr="00B50C82" w:rsidRDefault="00C35C16">
            <w:pPr>
              <w:rPr>
                <w:b/>
                <w:sz w:val="20"/>
              </w:rPr>
            </w:pPr>
            <w:r w:rsidRPr="00B50C82">
              <w:rPr>
                <w:b/>
                <w:sz w:val="20"/>
              </w:rPr>
              <w:t>CERES [24]</w:t>
            </w:r>
          </w:p>
          <w:p w:rsidR="00C35C16" w:rsidRPr="00B50C82" w:rsidRDefault="00C35C16">
            <w:pPr>
              <w:rPr>
                <w:b/>
                <w:sz w:val="20"/>
              </w:rPr>
            </w:pPr>
            <w:r w:rsidRPr="00B50C82">
              <w:rPr>
                <w:b/>
                <w:sz w:val="20"/>
              </w:rPr>
              <w:t>Mar 2000 to oct 2005</w:t>
            </w:r>
          </w:p>
        </w:tc>
        <w:tc>
          <w:tcPr>
            <w:tcW w:w="2148" w:type="dxa"/>
            <w:vAlign w:val="center"/>
          </w:tcPr>
          <w:p w:rsidR="00C35C16" w:rsidRPr="00B50C82" w:rsidRDefault="00C35C16">
            <w:pPr>
              <w:rPr>
                <w:b/>
                <w:sz w:val="20"/>
              </w:rPr>
            </w:pPr>
            <w:r w:rsidRPr="00B50C82">
              <w:rPr>
                <w:b/>
                <w:sz w:val="20"/>
              </w:rPr>
              <w:t>Argo [19]</w:t>
            </w:r>
          </w:p>
          <w:p w:rsidR="00C35C16" w:rsidRPr="00B50C82" w:rsidRDefault="00C35C16">
            <w:pPr>
              <w:rPr>
                <w:b/>
                <w:sz w:val="20"/>
              </w:rPr>
            </w:pPr>
            <w:r w:rsidRPr="00B50C82">
              <w:rPr>
                <w:b/>
                <w:sz w:val="20"/>
              </w:rPr>
              <w:t>Jul 2003 to jun 2008</w:t>
            </w:r>
          </w:p>
        </w:tc>
        <w:tc>
          <w:tcPr>
            <w:tcW w:w="1205" w:type="dxa"/>
            <w:vAlign w:val="center"/>
          </w:tcPr>
          <w:p w:rsidR="00C35C16" w:rsidRPr="00B50C82" w:rsidRDefault="00C35C16" w:rsidP="00C35C16">
            <w:pPr>
              <w:rPr>
                <w:b/>
                <w:sz w:val="20"/>
              </w:rPr>
            </w:pPr>
            <w:r w:rsidRPr="00B50C82">
              <w:rPr>
                <w:b/>
                <w:sz w:val="20"/>
              </w:rPr>
              <w:t>Solar eccentricity</w:t>
            </w:r>
          </w:p>
          <w:p w:rsidR="00C35C16" w:rsidRPr="00B50C82" w:rsidRDefault="00C35C16">
            <w:pPr>
              <w:rPr>
                <w:b/>
                <w:sz w:val="20"/>
              </w:rPr>
            </w:pPr>
            <w:r w:rsidRPr="00B50C82">
              <w:rPr>
                <w:b/>
                <w:sz w:val="20"/>
              </w:rPr>
              <w:t xml:space="preserve">effect </w:t>
            </w:r>
          </w:p>
        </w:tc>
        <w:tc>
          <w:tcPr>
            <w:tcW w:w="1618" w:type="dxa"/>
            <w:vAlign w:val="center"/>
          </w:tcPr>
          <w:p w:rsidR="00C35C16" w:rsidRPr="00B50C82" w:rsidRDefault="00C35C16" w:rsidP="00C35C16">
            <w:pPr>
              <w:rPr>
                <w:b/>
                <w:sz w:val="20"/>
              </w:rPr>
            </w:pPr>
            <w:r w:rsidRPr="00B50C82">
              <w:rPr>
                <w:b/>
                <w:sz w:val="20"/>
              </w:rPr>
              <w:t>Comment</w:t>
            </w:r>
          </w:p>
        </w:tc>
      </w:tr>
      <w:tr w:rsidR="00C35C16" w:rsidRPr="00B50C82">
        <w:trPr>
          <w:trHeight w:hRule="exact" w:val="43"/>
        </w:trPr>
        <w:tc>
          <w:tcPr>
            <w:tcW w:w="1341" w:type="dxa"/>
          </w:tcPr>
          <w:p w:rsidR="00C35C16" w:rsidRPr="00B50C82" w:rsidRDefault="00C35C16">
            <w:pPr>
              <w:rPr>
                <w:sz w:val="20"/>
              </w:rPr>
            </w:pPr>
          </w:p>
        </w:tc>
        <w:tc>
          <w:tcPr>
            <w:tcW w:w="2148" w:type="dxa"/>
          </w:tcPr>
          <w:p w:rsidR="00C35C16" w:rsidRPr="00B50C82" w:rsidRDefault="00C35C16">
            <w:pPr>
              <w:rPr>
                <w:sz w:val="20"/>
              </w:rPr>
            </w:pPr>
          </w:p>
        </w:tc>
        <w:tc>
          <w:tcPr>
            <w:tcW w:w="2148" w:type="dxa"/>
          </w:tcPr>
          <w:p w:rsidR="00C35C16" w:rsidRPr="00B50C82" w:rsidRDefault="00C35C16">
            <w:pPr>
              <w:rPr>
                <w:sz w:val="20"/>
              </w:rPr>
            </w:pPr>
          </w:p>
        </w:tc>
        <w:tc>
          <w:tcPr>
            <w:tcW w:w="1205" w:type="dxa"/>
          </w:tcPr>
          <w:p w:rsidR="00C35C16" w:rsidRPr="00B50C82" w:rsidRDefault="00C35C16" w:rsidP="00C35C16">
            <w:pPr>
              <w:rPr>
                <w:sz w:val="20"/>
              </w:rPr>
            </w:pPr>
          </w:p>
        </w:tc>
        <w:tc>
          <w:tcPr>
            <w:tcW w:w="1618" w:type="dxa"/>
          </w:tcPr>
          <w:p w:rsidR="00C35C16" w:rsidRPr="00B50C82" w:rsidRDefault="00C35C16" w:rsidP="00C35C16">
            <w:pPr>
              <w:rPr>
                <w:sz w:val="20"/>
              </w:rPr>
            </w:pPr>
          </w:p>
        </w:tc>
      </w:tr>
      <w:tr w:rsidR="00C35C16" w:rsidRPr="00B50C82">
        <w:trPr>
          <w:trHeight w:val="720"/>
        </w:trPr>
        <w:tc>
          <w:tcPr>
            <w:tcW w:w="1341" w:type="dxa"/>
          </w:tcPr>
          <w:p w:rsidR="00C35C16" w:rsidRPr="00B50C82" w:rsidRDefault="00C35C16" w:rsidP="00C35C16">
            <w:pPr>
              <w:rPr>
                <w:sz w:val="20"/>
              </w:rPr>
            </w:pPr>
            <w:r w:rsidRPr="00B50C82">
              <w:rPr>
                <w:sz w:val="20"/>
              </w:rPr>
              <w:t xml:space="preserve">Mean of </w:t>
            </w:r>
            <w:r w:rsidRPr="00B50C82">
              <w:rPr>
                <w:i/>
                <w:sz w:val="20"/>
              </w:rPr>
              <w:t>F</w:t>
            </w:r>
            <w:r w:rsidRPr="00B50C82">
              <w:rPr>
                <w:sz w:val="20"/>
                <w:vertAlign w:val="subscript"/>
              </w:rPr>
              <w:t>TOA</w:t>
            </w:r>
          </w:p>
        </w:tc>
        <w:tc>
          <w:tcPr>
            <w:tcW w:w="2148" w:type="dxa"/>
          </w:tcPr>
          <w:p w:rsidR="00C35C16" w:rsidRPr="00B50C82" w:rsidRDefault="00C35C16" w:rsidP="00C35C16">
            <w:pPr>
              <w:rPr>
                <w:sz w:val="20"/>
              </w:rPr>
            </w:pPr>
            <w:r w:rsidRPr="00B50C82">
              <w:rPr>
                <w:sz w:val="20"/>
              </w:rPr>
              <w:t>–0.303±0.187</w:t>
            </w:r>
          </w:p>
          <w:p w:rsidR="00C35C16" w:rsidRPr="00B50C82" w:rsidRDefault="00C35C16" w:rsidP="00C35C16">
            <w:pPr>
              <w:rPr>
                <w:sz w:val="20"/>
              </w:rPr>
            </w:pPr>
            <w:r w:rsidRPr="00B50C82">
              <w:rPr>
                <w:sz w:val="20"/>
              </w:rPr>
              <w:t>Systematic error = 4.3 [22].  Adjust to mean of Argo in overlap period</w:t>
            </w:r>
          </w:p>
        </w:tc>
        <w:tc>
          <w:tcPr>
            <w:tcW w:w="2148" w:type="dxa"/>
          </w:tcPr>
          <w:p w:rsidR="00C35C16" w:rsidRPr="00B50C82" w:rsidRDefault="00C35C16" w:rsidP="00C35C16">
            <w:pPr>
              <w:rPr>
                <w:sz w:val="20"/>
              </w:rPr>
            </w:pPr>
            <w:r w:rsidRPr="00B50C82">
              <w:rPr>
                <w:sz w:val="20"/>
              </w:rPr>
              <w:t xml:space="preserve">–0.244±0.990 </w:t>
            </w:r>
          </w:p>
          <w:p w:rsidR="00C35C16" w:rsidRPr="00B50C82" w:rsidRDefault="00C35C16" w:rsidP="00C35C16">
            <w:pPr>
              <w:rPr>
                <w:sz w:val="20"/>
              </w:rPr>
            </w:pPr>
            <w:r w:rsidRPr="00B50C82">
              <w:rPr>
                <w:sz w:val="20"/>
              </w:rPr>
              <w:t>[includes –0.087 from interior heat of earth]</w:t>
            </w:r>
          </w:p>
          <w:p w:rsidR="00C35C16" w:rsidRPr="00B50C82" w:rsidRDefault="00C35C16" w:rsidP="00C35C16">
            <w:pPr>
              <w:rPr>
                <w:sz w:val="20"/>
              </w:rPr>
            </w:pPr>
            <w:r w:rsidRPr="00B50C82">
              <w:rPr>
                <w:sz w:val="20"/>
              </w:rPr>
              <w:t xml:space="preserve"> </w:t>
            </w:r>
          </w:p>
        </w:tc>
        <w:tc>
          <w:tcPr>
            <w:tcW w:w="1205" w:type="dxa"/>
          </w:tcPr>
          <w:p w:rsidR="00C35C16" w:rsidRPr="00B50C82" w:rsidRDefault="00C35C16">
            <w:pPr>
              <w:rPr>
                <w:sz w:val="20"/>
              </w:rPr>
            </w:pPr>
            <w:r w:rsidRPr="00B50C82">
              <w:rPr>
                <w:sz w:val="20"/>
              </w:rPr>
              <w:t>0</w:t>
            </w:r>
          </w:p>
        </w:tc>
        <w:tc>
          <w:tcPr>
            <w:tcW w:w="1618" w:type="dxa"/>
          </w:tcPr>
          <w:p w:rsidR="00C35C16" w:rsidRPr="00B50C82" w:rsidRDefault="00C35C16">
            <w:pPr>
              <w:rPr>
                <w:sz w:val="20"/>
              </w:rPr>
            </w:pPr>
          </w:p>
        </w:tc>
      </w:tr>
      <w:tr w:rsidR="00C35C16" w:rsidRPr="00B50C82">
        <w:trPr>
          <w:trHeight w:val="720"/>
        </w:trPr>
        <w:tc>
          <w:tcPr>
            <w:tcW w:w="1341" w:type="dxa"/>
          </w:tcPr>
          <w:p w:rsidR="00C35C16" w:rsidRPr="00B50C82" w:rsidRDefault="00C35C16" w:rsidP="00C35C16">
            <w:pPr>
              <w:rPr>
                <w:sz w:val="20"/>
                <w:vertAlign w:val="subscript"/>
              </w:rPr>
            </w:pPr>
            <w:r w:rsidRPr="00B50C82">
              <w:rPr>
                <w:sz w:val="20"/>
              </w:rPr>
              <w:t xml:space="preserve">Slope of </w:t>
            </w:r>
            <w:r w:rsidRPr="00B50C82">
              <w:rPr>
                <w:i/>
                <w:sz w:val="20"/>
              </w:rPr>
              <w:t>F</w:t>
            </w:r>
            <w:r w:rsidRPr="00B50C82">
              <w:rPr>
                <w:sz w:val="20"/>
                <w:vertAlign w:val="subscript"/>
              </w:rPr>
              <w:t>TOA</w:t>
            </w:r>
          </w:p>
          <w:p w:rsidR="00C35C16" w:rsidRPr="00B50C82" w:rsidRDefault="00C35C16" w:rsidP="00C35C16">
            <w:pPr>
              <w:rPr>
                <w:sz w:val="20"/>
              </w:rPr>
            </w:pPr>
          </w:p>
        </w:tc>
        <w:tc>
          <w:tcPr>
            <w:tcW w:w="2148" w:type="dxa"/>
          </w:tcPr>
          <w:p w:rsidR="00C35C16" w:rsidRPr="00B50C82" w:rsidRDefault="00C35C16" w:rsidP="00C35C16">
            <w:pPr>
              <w:rPr>
                <w:sz w:val="20"/>
              </w:rPr>
            </w:pPr>
            <w:r w:rsidRPr="00B50C82">
              <w:rPr>
                <w:sz w:val="20"/>
              </w:rPr>
              <w:t>–0.485 (W/m</w:t>
            </w:r>
            <w:r w:rsidRPr="00B50C82">
              <w:rPr>
                <w:sz w:val="20"/>
                <w:vertAlign w:val="superscript"/>
              </w:rPr>
              <w:t>2</w:t>
            </w:r>
            <w:r w:rsidRPr="00B50C82">
              <w:rPr>
                <w:sz w:val="20"/>
              </w:rPr>
              <w:t>)/yr</w:t>
            </w:r>
          </w:p>
          <w:p w:rsidR="00C35C16" w:rsidRPr="00B50C82" w:rsidRDefault="00C35C16" w:rsidP="00C35C16">
            <w:pPr>
              <w:rPr>
                <w:b/>
                <w:color w:val="FF0000"/>
                <w:sz w:val="20"/>
              </w:rPr>
            </w:pPr>
          </w:p>
        </w:tc>
        <w:tc>
          <w:tcPr>
            <w:tcW w:w="2148" w:type="dxa"/>
          </w:tcPr>
          <w:p w:rsidR="00C35C16" w:rsidRPr="00B50C82" w:rsidRDefault="00C35C16" w:rsidP="00C35C16">
            <w:pPr>
              <w:rPr>
                <w:sz w:val="20"/>
              </w:rPr>
            </w:pPr>
            <w:r w:rsidRPr="00B50C82">
              <w:rPr>
                <w:sz w:val="20"/>
              </w:rPr>
              <w:t>0.001 ± large (end effects)</w:t>
            </w:r>
          </w:p>
          <w:p w:rsidR="00C35C16" w:rsidRPr="00B50C82" w:rsidRDefault="00C35C16" w:rsidP="00C35C16">
            <w:pPr>
              <w:rPr>
                <w:sz w:val="20"/>
              </w:rPr>
            </w:pPr>
          </w:p>
        </w:tc>
        <w:tc>
          <w:tcPr>
            <w:tcW w:w="1205" w:type="dxa"/>
          </w:tcPr>
          <w:p w:rsidR="00C35C16" w:rsidRPr="00B50C82" w:rsidRDefault="00C35C16" w:rsidP="00C35C16">
            <w:pPr>
              <w:rPr>
                <w:sz w:val="20"/>
              </w:rPr>
            </w:pPr>
          </w:p>
        </w:tc>
        <w:tc>
          <w:tcPr>
            <w:tcW w:w="1618" w:type="dxa"/>
          </w:tcPr>
          <w:p w:rsidR="00C35C16" w:rsidRPr="00B50C82" w:rsidRDefault="00C35C16" w:rsidP="00C35C16">
            <w:pPr>
              <w:rPr>
                <w:sz w:val="20"/>
              </w:rPr>
            </w:pPr>
            <w:r w:rsidRPr="00B50C82">
              <w:rPr>
                <w:sz w:val="20"/>
              </w:rPr>
              <w:t>Solar is in decreasing part of 11 year cycle</w:t>
            </w:r>
          </w:p>
          <w:p w:rsidR="00C35C16" w:rsidRPr="00B50C82" w:rsidRDefault="00C35C16" w:rsidP="00C35C16">
            <w:pPr>
              <w:rPr>
                <w:sz w:val="20"/>
              </w:rPr>
            </w:pPr>
            <w:r w:rsidRPr="00B50C82">
              <w:rPr>
                <w:sz w:val="20"/>
              </w:rPr>
              <w:t>–0.055(W/m</w:t>
            </w:r>
            <w:r w:rsidRPr="00B50C82">
              <w:rPr>
                <w:sz w:val="20"/>
                <w:vertAlign w:val="superscript"/>
              </w:rPr>
              <w:t>2</w:t>
            </w:r>
            <w:r w:rsidRPr="00B50C82">
              <w:rPr>
                <w:sz w:val="20"/>
              </w:rPr>
              <w:t>)/yr</w:t>
            </w:r>
          </w:p>
          <w:p w:rsidR="00C35C16" w:rsidRPr="00B50C82" w:rsidRDefault="00C35C16" w:rsidP="00C35C16">
            <w:pPr>
              <w:rPr>
                <w:b/>
                <w:color w:val="FF0000"/>
                <w:sz w:val="20"/>
              </w:rPr>
            </w:pPr>
            <w:r w:rsidRPr="00B50C82">
              <w:rPr>
                <w:sz w:val="20"/>
              </w:rPr>
              <w:t>2001 to 2007</w:t>
            </w:r>
          </w:p>
        </w:tc>
      </w:tr>
      <w:tr w:rsidR="00C35C16" w:rsidRPr="00B50C82">
        <w:trPr>
          <w:trHeight w:val="720"/>
        </w:trPr>
        <w:tc>
          <w:tcPr>
            <w:tcW w:w="1341" w:type="dxa"/>
          </w:tcPr>
          <w:p w:rsidR="00C35C16" w:rsidRPr="00B50C82" w:rsidRDefault="00C35C16">
            <w:pPr>
              <w:rPr>
                <w:sz w:val="20"/>
              </w:rPr>
            </w:pPr>
            <w:r w:rsidRPr="00B50C82">
              <w:rPr>
                <w:sz w:val="20"/>
              </w:rPr>
              <w:t xml:space="preserve">peak-to-peak span of </w:t>
            </w:r>
            <w:r w:rsidRPr="00B50C82">
              <w:rPr>
                <w:i/>
                <w:sz w:val="20"/>
              </w:rPr>
              <w:t>F</w:t>
            </w:r>
            <w:r w:rsidRPr="00B50C82">
              <w:rPr>
                <w:sz w:val="20"/>
                <w:vertAlign w:val="subscript"/>
              </w:rPr>
              <w:t>TOA</w:t>
            </w:r>
          </w:p>
        </w:tc>
        <w:tc>
          <w:tcPr>
            <w:tcW w:w="2148" w:type="dxa"/>
          </w:tcPr>
          <w:p w:rsidR="00C35C16" w:rsidRPr="00B50C82" w:rsidRDefault="00C35C16">
            <w:pPr>
              <w:rPr>
                <w:sz w:val="20"/>
              </w:rPr>
            </w:pPr>
            <w:r w:rsidRPr="00B50C82">
              <w:rPr>
                <w:sz w:val="20"/>
              </w:rPr>
              <w:t>18.7 ±0.7</w:t>
            </w:r>
          </w:p>
          <w:p w:rsidR="00C35C16" w:rsidRPr="00B50C82" w:rsidRDefault="00C35C16">
            <w:pPr>
              <w:rPr>
                <w:sz w:val="20"/>
              </w:rPr>
            </w:pPr>
            <w:r w:rsidRPr="00B50C82">
              <w:rPr>
                <w:sz w:val="20"/>
              </w:rPr>
              <w:t>Depends on instrument calibration</w:t>
            </w:r>
          </w:p>
        </w:tc>
        <w:tc>
          <w:tcPr>
            <w:tcW w:w="2148" w:type="dxa"/>
          </w:tcPr>
          <w:p w:rsidR="00C35C16" w:rsidRPr="00B50C82" w:rsidRDefault="00C35C16">
            <w:pPr>
              <w:rPr>
                <w:sz w:val="20"/>
              </w:rPr>
            </w:pPr>
            <w:r w:rsidRPr="00B50C82">
              <w:rPr>
                <w:sz w:val="20"/>
              </w:rPr>
              <w:t>17.3±2</w:t>
            </w:r>
          </w:p>
          <w:p w:rsidR="00C35C16" w:rsidRPr="00B50C82" w:rsidRDefault="00C35C16">
            <w:pPr>
              <w:rPr>
                <w:sz w:val="20"/>
              </w:rPr>
            </w:pPr>
            <w:r w:rsidRPr="00B50C82">
              <w:rPr>
                <w:sz w:val="20"/>
              </w:rPr>
              <w:t>Depends on instrument calibration</w:t>
            </w:r>
            <w:r w:rsidRPr="00C45043">
              <w:rPr>
                <w:sz w:val="20"/>
              </w:rPr>
              <w:t xml:space="preserve"> and 0.62. </w:t>
            </w:r>
          </w:p>
        </w:tc>
        <w:tc>
          <w:tcPr>
            <w:tcW w:w="1205" w:type="dxa"/>
          </w:tcPr>
          <w:p w:rsidR="00C35C16" w:rsidRPr="00B50C82" w:rsidRDefault="00C35C16">
            <w:pPr>
              <w:rPr>
                <w:sz w:val="20"/>
              </w:rPr>
            </w:pPr>
            <w:r w:rsidRPr="00B50C82">
              <w:rPr>
                <w:sz w:val="20"/>
              </w:rPr>
              <w:t>22.7</w:t>
            </w:r>
          </w:p>
          <w:p w:rsidR="00C35C16" w:rsidRPr="00B50C82" w:rsidRDefault="00C35C16">
            <w:pPr>
              <w:rPr>
                <w:sz w:val="20"/>
              </w:rPr>
            </w:pPr>
            <w:r w:rsidRPr="00B50C82">
              <w:rPr>
                <w:sz w:val="20"/>
              </w:rPr>
              <w:t xml:space="preserve">Depends on </w:t>
            </w:r>
            <w:r w:rsidRPr="00B50C82">
              <w:rPr>
                <w:i/>
                <w:sz w:val="20"/>
              </w:rPr>
              <w:t>S</w:t>
            </w:r>
            <w:r w:rsidRPr="00B50C82">
              <w:rPr>
                <w:sz w:val="20"/>
                <w:vertAlign w:val="subscript"/>
              </w:rPr>
              <w:t>0</w:t>
            </w:r>
            <w:r w:rsidRPr="00B50C82">
              <w:rPr>
                <w:sz w:val="20"/>
              </w:rPr>
              <w:t>;  No uncertainty</w:t>
            </w:r>
          </w:p>
        </w:tc>
        <w:tc>
          <w:tcPr>
            <w:tcW w:w="1618" w:type="dxa"/>
          </w:tcPr>
          <w:p w:rsidR="00C35C16" w:rsidRPr="00B50C82" w:rsidRDefault="00C35C16" w:rsidP="00C35C16">
            <w:pPr>
              <w:rPr>
                <w:sz w:val="20"/>
              </w:rPr>
            </w:pPr>
            <w:r w:rsidRPr="00B50C82">
              <w:rPr>
                <w:sz w:val="20"/>
              </w:rPr>
              <w:t>All in phase. Max near January.</w:t>
            </w:r>
          </w:p>
          <w:p w:rsidR="00C35C16" w:rsidRPr="00B50C82" w:rsidRDefault="00C35C16">
            <w:pPr>
              <w:rPr>
                <w:sz w:val="20"/>
              </w:rPr>
            </w:pPr>
            <w:r w:rsidRPr="00B50C82">
              <w:rPr>
                <w:sz w:val="20"/>
              </w:rPr>
              <w:t>CERES≈Argo;</w:t>
            </w:r>
          </w:p>
        </w:tc>
      </w:tr>
      <w:tr w:rsidR="00C35C16" w:rsidRPr="00B50C82">
        <w:trPr>
          <w:trHeight w:val="720"/>
        </w:trPr>
        <w:tc>
          <w:tcPr>
            <w:tcW w:w="1341" w:type="dxa"/>
          </w:tcPr>
          <w:p w:rsidR="00C35C16" w:rsidRPr="00B50C82" w:rsidRDefault="00C35C16">
            <w:pPr>
              <w:rPr>
                <w:sz w:val="20"/>
              </w:rPr>
            </w:pPr>
            <w:r w:rsidRPr="00B50C82">
              <w:rPr>
                <w:sz w:val="20"/>
              </w:rPr>
              <w:t xml:space="preserve">Slope of peak-to-peak of </w:t>
            </w:r>
            <w:r w:rsidRPr="00B50C82">
              <w:rPr>
                <w:i/>
                <w:sz w:val="20"/>
              </w:rPr>
              <w:t>F</w:t>
            </w:r>
            <w:r w:rsidRPr="00B50C82">
              <w:rPr>
                <w:sz w:val="20"/>
                <w:vertAlign w:val="subscript"/>
              </w:rPr>
              <w:t>TOA</w:t>
            </w:r>
          </w:p>
        </w:tc>
        <w:tc>
          <w:tcPr>
            <w:tcW w:w="2148" w:type="dxa"/>
          </w:tcPr>
          <w:p w:rsidR="00C35C16" w:rsidRPr="00B50C82" w:rsidRDefault="00C35C16">
            <w:pPr>
              <w:rPr>
                <w:sz w:val="20"/>
              </w:rPr>
            </w:pPr>
            <w:r w:rsidRPr="00B50C82">
              <w:rPr>
                <w:sz w:val="20"/>
              </w:rPr>
              <w:t>–0.016 ±0.86 W/m</w:t>
            </w:r>
            <w:r w:rsidRPr="00B50C82">
              <w:rPr>
                <w:sz w:val="20"/>
                <w:vertAlign w:val="superscript"/>
              </w:rPr>
              <w:t>2</w:t>
            </w:r>
            <w:r w:rsidRPr="00B50C82">
              <w:rPr>
                <w:sz w:val="20"/>
              </w:rPr>
              <w:t>/year</w:t>
            </w:r>
          </w:p>
          <w:p w:rsidR="00C35C16" w:rsidRPr="00B50C82" w:rsidRDefault="00C35C16">
            <w:pPr>
              <w:rPr>
                <w:sz w:val="20"/>
              </w:rPr>
            </w:pPr>
            <w:r w:rsidRPr="00B50C82">
              <w:rPr>
                <w:sz w:val="20"/>
              </w:rPr>
              <w:t>Expect 0 from eccentricity effect</w:t>
            </w:r>
          </w:p>
        </w:tc>
        <w:tc>
          <w:tcPr>
            <w:tcW w:w="2148" w:type="dxa"/>
          </w:tcPr>
          <w:p w:rsidR="00C35C16" w:rsidRPr="00B50C82" w:rsidRDefault="00C35C16">
            <w:pPr>
              <w:rPr>
                <w:sz w:val="20"/>
              </w:rPr>
            </w:pPr>
            <w:r w:rsidRPr="00B50C82">
              <w:rPr>
                <w:sz w:val="20"/>
              </w:rPr>
              <w:t>–1.16±3.19</w:t>
            </w:r>
          </w:p>
        </w:tc>
        <w:tc>
          <w:tcPr>
            <w:tcW w:w="1205" w:type="dxa"/>
          </w:tcPr>
          <w:p w:rsidR="00C35C16" w:rsidRPr="00B50C82" w:rsidRDefault="00C35C16">
            <w:pPr>
              <w:rPr>
                <w:sz w:val="20"/>
              </w:rPr>
            </w:pPr>
            <w:r w:rsidRPr="00B50C82">
              <w:rPr>
                <w:sz w:val="20"/>
              </w:rPr>
              <w:t>0</w:t>
            </w:r>
          </w:p>
        </w:tc>
        <w:tc>
          <w:tcPr>
            <w:tcW w:w="1618" w:type="dxa"/>
          </w:tcPr>
          <w:p w:rsidR="00C35C16" w:rsidRPr="00B50C82" w:rsidRDefault="00C35C16">
            <w:pPr>
              <w:rPr>
                <w:sz w:val="20"/>
              </w:rPr>
            </w:pPr>
            <w:r w:rsidRPr="00B50C82">
              <w:rPr>
                <w:sz w:val="20"/>
              </w:rPr>
              <w:t>CERES and ARGO consistent with zero</w:t>
            </w:r>
          </w:p>
        </w:tc>
      </w:tr>
    </w:tbl>
    <w:p w:rsidR="00C35C16" w:rsidRDefault="00C35C16" w:rsidP="00C35C16"/>
    <w:p w:rsidR="00C35C16" w:rsidRPr="00B50C82" w:rsidRDefault="00C35C16" w:rsidP="00C35C16">
      <w:pPr>
        <w:rPr>
          <w:color w:val="000000"/>
        </w:rPr>
      </w:pPr>
      <w:r>
        <w:br w:type="page"/>
        <w:t xml:space="preserve">Table S-3. </w:t>
      </w:r>
      <w:r w:rsidRPr="00802F33">
        <w:rPr>
          <w:b/>
        </w:rPr>
        <w:t xml:space="preserve"> </w:t>
      </w:r>
      <w:r w:rsidRPr="00B50C82">
        <w:t xml:space="preserve">Summary of implied and measured values of </w:t>
      </w:r>
      <w:r w:rsidRPr="00B50C82">
        <w:rPr>
          <w:i/>
        </w:rPr>
        <w:t>F</w:t>
      </w:r>
      <w:r w:rsidRPr="00B50C82">
        <w:rPr>
          <w:color w:val="000000"/>
          <w:sz w:val="28"/>
          <w:vertAlign w:val="subscript"/>
        </w:rPr>
        <w:t>TOA</w:t>
      </w:r>
      <w:r w:rsidRPr="00B50C82">
        <w:t xml:space="preserve">.  </w:t>
      </w:r>
      <w:r w:rsidRPr="00B50C82">
        <w:rPr>
          <w:color w:val="000000"/>
        </w:rPr>
        <w:t xml:space="preserve">Values in the fourth column that are derived from the third column are reduced by </w:t>
      </w:r>
      <w:r w:rsidRPr="00B50C82">
        <w:rPr>
          <w:i/>
          <w:color w:val="000000"/>
        </w:rPr>
        <w:t>F</w:t>
      </w:r>
      <w:r w:rsidRPr="00154DB5">
        <w:rPr>
          <w:i/>
          <w:color w:val="000000"/>
          <w:sz w:val="28"/>
          <w:vertAlign w:val="subscript"/>
        </w:rPr>
        <w:t>g</w:t>
      </w:r>
      <w:r w:rsidRPr="00B50C82">
        <w:rPr>
          <w:i/>
          <w:color w:val="000000"/>
        </w:rPr>
        <w:t xml:space="preserve"> = </w:t>
      </w:r>
      <w:r w:rsidRPr="00B50C82">
        <w:rPr>
          <w:color w:val="000000"/>
        </w:rPr>
        <w:t xml:space="preserve">0.087 </w:t>
      </w:r>
      <w:r w:rsidRPr="00B50C82">
        <w:t>W/m</w:t>
      </w:r>
      <w:r w:rsidRPr="00B50C82">
        <w:rPr>
          <w:sz w:val="28"/>
          <w:vertAlign w:val="superscript"/>
        </w:rPr>
        <w:t>2</w:t>
      </w:r>
      <w:r w:rsidRPr="00B50C82">
        <w:rPr>
          <w:color w:val="000000"/>
        </w:rPr>
        <w:t xml:space="preserve"> because of the geothermal energy contribution.</w:t>
      </w:r>
    </w:p>
    <w:tbl>
      <w:tblPr>
        <w:tblpPr w:leftFromText="180" w:rightFromText="180" w:vertAnchor="text" w:horzAnchor="page" w:tblpX="3214" w:tblpY="626"/>
        <w:tblW w:w="8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8"/>
        <w:gridCol w:w="1260"/>
        <w:gridCol w:w="1440"/>
        <w:gridCol w:w="2070"/>
        <w:gridCol w:w="1800"/>
      </w:tblGrid>
      <w:tr w:rsidR="00C35C16" w:rsidRPr="00B50C82">
        <w:trPr>
          <w:trHeight w:val="781"/>
        </w:trPr>
        <w:tc>
          <w:tcPr>
            <w:tcW w:w="1728" w:type="dxa"/>
            <w:vAlign w:val="center"/>
          </w:tcPr>
          <w:p w:rsidR="00C35C16" w:rsidRPr="00B50C82" w:rsidRDefault="00C35C16" w:rsidP="00C35C16">
            <w:pPr>
              <w:rPr>
                <w:b/>
                <w:sz w:val="20"/>
              </w:rPr>
            </w:pPr>
            <w:r w:rsidRPr="00B50C82">
              <w:rPr>
                <w:b/>
                <w:sz w:val="20"/>
              </w:rPr>
              <w:t>Source</w:t>
            </w:r>
          </w:p>
        </w:tc>
        <w:tc>
          <w:tcPr>
            <w:tcW w:w="1260" w:type="dxa"/>
            <w:vAlign w:val="center"/>
          </w:tcPr>
          <w:p w:rsidR="00C35C16" w:rsidRPr="00B50C82" w:rsidRDefault="00C35C16" w:rsidP="00C35C16">
            <w:pPr>
              <w:rPr>
                <w:b/>
                <w:sz w:val="20"/>
              </w:rPr>
            </w:pPr>
            <w:r w:rsidRPr="00B50C82">
              <w:rPr>
                <w:b/>
                <w:sz w:val="20"/>
              </w:rPr>
              <w:t xml:space="preserve">Time period </w:t>
            </w:r>
          </w:p>
        </w:tc>
        <w:tc>
          <w:tcPr>
            <w:tcW w:w="1440" w:type="dxa"/>
            <w:vAlign w:val="center"/>
          </w:tcPr>
          <w:p w:rsidR="00C35C16" w:rsidRPr="00B50C82" w:rsidRDefault="00C35C16" w:rsidP="00C35C16">
            <w:pPr>
              <w:rPr>
                <w:b/>
                <w:sz w:val="20"/>
              </w:rPr>
            </w:pPr>
            <w:r w:rsidRPr="00B50C82">
              <w:rPr>
                <w:b/>
                <w:i/>
                <w:sz w:val="20"/>
              </w:rPr>
              <w:t>dH</w:t>
            </w:r>
            <w:r w:rsidRPr="00B50C82">
              <w:rPr>
                <w:b/>
                <w:i/>
                <w:color w:val="000000"/>
                <w:sz w:val="28"/>
                <w:vertAlign w:val="subscript"/>
              </w:rPr>
              <w:t>O</w:t>
            </w:r>
            <w:r w:rsidRPr="00B50C82">
              <w:rPr>
                <w:b/>
                <w:sz w:val="20"/>
              </w:rPr>
              <w:t>/</w:t>
            </w:r>
            <w:r w:rsidRPr="00B50C82">
              <w:rPr>
                <w:b/>
                <w:i/>
                <w:sz w:val="20"/>
              </w:rPr>
              <w:t>dt</w:t>
            </w:r>
            <w:r w:rsidRPr="00B50C82">
              <w:rPr>
                <w:b/>
                <w:sz w:val="20"/>
              </w:rPr>
              <w:t xml:space="preserve"> in flux units (W/m</w:t>
            </w:r>
            <w:r w:rsidRPr="00B50C82">
              <w:rPr>
                <w:b/>
                <w:sz w:val="20"/>
                <w:vertAlign w:val="superscript"/>
              </w:rPr>
              <w:t>2</w:t>
            </w:r>
            <w:r w:rsidRPr="00B50C82">
              <w:rPr>
                <w:b/>
                <w:sz w:val="20"/>
              </w:rPr>
              <w:t>)</w:t>
            </w:r>
          </w:p>
        </w:tc>
        <w:tc>
          <w:tcPr>
            <w:tcW w:w="2070" w:type="dxa"/>
            <w:vAlign w:val="center"/>
          </w:tcPr>
          <w:p w:rsidR="00C35C16" w:rsidRPr="00B50C82" w:rsidRDefault="00C35C16" w:rsidP="00C35C16">
            <w:pPr>
              <w:rPr>
                <w:b/>
                <w:sz w:val="20"/>
              </w:rPr>
            </w:pPr>
            <w:r w:rsidRPr="00B50C82">
              <w:rPr>
                <w:b/>
                <w:sz w:val="20"/>
              </w:rPr>
              <w:t xml:space="preserve">Implied or measured </w:t>
            </w:r>
            <w:r w:rsidRPr="00B50C82">
              <w:rPr>
                <w:b/>
                <w:i/>
                <w:sz w:val="20"/>
              </w:rPr>
              <w:t>F</w:t>
            </w:r>
            <w:r w:rsidRPr="00B50C82">
              <w:rPr>
                <w:b/>
                <w:sz w:val="20"/>
                <w:vertAlign w:val="subscript"/>
              </w:rPr>
              <w:t>TOA</w:t>
            </w:r>
            <w:r w:rsidRPr="00B50C82">
              <w:rPr>
                <w:b/>
                <w:sz w:val="20"/>
              </w:rPr>
              <w:t xml:space="preserve"> (W/m</w:t>
            </w:r>
            <w:r w:rsidRPr="00B50C82">
              <w:rPr>
                <w:b/>
                <w:sz w:val="20"/>
                <w:vertAlign w:val="superscript"/>
              </w:rPr>
              <w:t>2</w:t>
            </w:r>
            <w:r w:rsidRPr="00B50C82">
              <w:rPr>
                <w:b/>
                <w:sz w:val="20"/>
              </w:rPr>
              <w:t>)</w:t>
            </w:r>
          </w:p>
        </w:tc>
        <w:tc>
          <w:tcPr>
            <w:tcW w:w="1800" w:type="dxa"/>
            <w:vAlign w:val="center"/>
          </w:tcPr>
          <w:p w:rsidR="00C35C16" w:rsidRPr="00B50C82" w:rsidRDefault="00C35C16" w:rsidP="00C35C16">
            <w:pPr>
              <w:rPr>
                <w:b/>
                <w:sz w:val="20"/>
              </w:rPr>
            </w:pPr>
            <w:r w:rsidRPr="00B50C82">
              <w:rPr>
                <w:b/>
                <w:sz w:val="20"/>
              </w:rPr>
              <w:t>Comment</w:t>
            </w:r>
          </w:p>
        </w:tc>
      </w:tr>
      <w:tr w:rsidR="00C35C16" w:rsidRPr="00B50C82">
        <w:trPr>
          <w:trHeight w:hRule="exact" w:val="43"/>
        </w:trPr>
        <w:tc>
          <w:tcPr>
            <w:tcW w:w="1728" w:type="dxa"/>
          </w:tcPr>
          <w:p w:rsidR="00C35C16" w:rsidRPr="00B50C82" w:rsidRDefault="00C35C16" w:rsidP="00C35C16">
            <w:pPr>
              <w:rPr>
                <w:sz w:val="20"/>
              </w:rPr>
            </w:pPr>
          </w:p>
        </w:tc>
        <w:tc>
          <w:tcPr>
            <w:tcW w:w="1260" w:type="dxa"/>
          </w:tcPr>
          <w:p w:rsidR="00C35C16" w:rsidRPr="00B50C82" w:rsidRDefault="00C35C16" w:rsidP="00C35C16">
            <w:pPr>
              <w:rPr>
                <w:sz w:val="20"/>
              </w:rPr>
            </w:pPr>
          </w:p>
        </w:tc>
        <w:tc>
          <w:tcPr>
            <w:tcW w:w="1440" w:type="dxa"/>
          </w:tcPr>
          <w:p w:rsidR="00C35C16" w:rsidRPr="00B50C82" w:rsidRDefault="00C35C16" w:rsidP="00C35C16">
            <w:pPr>
              <w:rPr>
                <w:sz w:val="20"/>
              </w:rPr>
            </w:pPr>
          </w:p>
        </w:tc>
        <w:tc>
          <w:tcPr>
            <w:tcW w:w="2070" w:type="dxa"/>
          </w:tcPr>
          <w:p w:rsidR="00C35C16" w:rsidRPr="00B50C82" w:rsidRDefault="00C35C16" w:rsidP="00C35C16">
            <w:pPr>
              <w:rPr>
                <w:sz w:val="20"/>
              </w:rPr>
            </w:pPr>
          </w:p>
        </w:tc>
        <w:tc>
          <w:tcPr>
            <w:tcW w:w="1800" w:type="dxa"/>
          </w:tcPr>
          <w:p w:rsidR="00C35C16" w:rsidRPr="00B50C82" w:rsidRDefault="00C35C16" w:rsidP="00C35C16">
            <w:pPr>
              <w:rPr>
                <w:sz w:val="20"/>
              </w:rPr>
            </w:pPr>
          </w:p>
        </w:tc>
      </w:tr>
      <w:tr w:rsidR="00C35C16" w:rsidRPr="00B50C82">
        <w:trPr>
          <w:trHeight w:val="360"/>
        </w:trPr>
        <w:tc>
          <w:tcPr>
            <w:tcW w:w="1728" w:type="dxa"/>
          </w:tcPr>
          <w:p w:rsidR="00C35C16" w:rsidRPr="00B50C82" w:rsidRDefault="00C35C16" w:rsidP="00C35C16">
            <w:pPr>
              <w:rPr>
                <w:sz w:val="20"/>
              </w:rPr>
            </w:pPr>
            <w:r w:rsidRPr="00B50C82">
              <w:rPr>
                <w:sz w:val="20"/>
              </w:rPr>
              <w:t>Levitus</w:t>
            </w:r>
          </w:p>
          <w:p w:rsidR="00C35C16" w:rsidRPr="00B50C82" w:rsidRDefault="00C35C16" w:rsidP="00C35C16">
            <w:pPr>
              <w:rPr>
                <w:sz w:val="20"/>
              </w:rPr>
            </w:pPr>
            <w:r w:rsidRPr="00B50C82">
              <w:rPr>
                <w:i/>
                <w:sz w:val="20"/>
              </w:rPr>
              <w:t>et al</w:t>
            </w:r>
            <w:r w:rsidRPr="00B50C82">
              <w:rPr>
                <w:sz w:val="20"/>
              </w:rPr>
              <w:t>. [16]</w:t>
            </w:r>
          </w:p>
        </w:tc>
        <w:tc>
          <w:tcPr>
            <w:tcW w:w="1260" w:type="dxa"/>
          </w:tcPr>
          <w:p w:rsidR="00C35C16" w:rsidRPr="00B50C82" w:rsidRDefault="00C35C16" w:rsidP="00C35C16">
            <w:pPr>
              <w:rPr>
                <w:sz w:val="20"/>
              </w:rPr>
            </w:pPr>
            <w:r w:rsidRPr="00B50C82">
              <w:rPr>
                <w:sz w:val="20"/>
              </w:rPr>
              <w:t>1955–1998</w:t>
            </w:r>
          </w:p>
        </w:tc>
        <w:tc>
          <w:tcPr>
            <w:tcW w:w="1440" w:type="dxa"/>
          </w:tcPr>
          <w:p w:rsidR="00C35C16" w:rsidRPr="00B50C82" w:rsidRDefault="00C35C16" w:rsidP="00C35C16">
            <w:pPr>
              <w:rPr>
                <w:sz w:val="20"/>
                <w:szCs w:val="28"/>
              </w:rPr>
            </w:pPr>
            <w:r w:rsidRPr="00B50C82">
              <w:rPr>
                <w:sz w:val="20"/>
                <w:szCs w:val="28"/>
              </w:rPr>
              <w:t>+0.20</w:t>
            </w:r>
          </w:p>
        </w:tc>
        <w:tc>
          <w:tcPr>
            <w:tcW w:w="2070" w:type="dxa"/>
          </w:tcPr>
          <w:p w:rsidR="00C35C16" w:rsidRPr="00B50C82" w:rsidRDefault="00C35C16" w:rsidP="00C35C16">
            <w:pPr>
              <w:rPr>
                <w:sz w:val="20"/>
                <w:szCs w:val="28"/>
              </w:rPr>
            </w:pPr>
            <w:r w:rsidRPr="00B50C82">
              <w:rPr>
                <w:sz w:val="20"/>
                <w:szCs w:val="28"/>
              </w:rPr>
              <w:t>+0.113</w:t>
            </w:r>
          </w:p>
        </w:tc>
        <w:tc>
          <w:tcPr>
            <w:tcW w:w="1800" w:type="dxa"/>
          </w:tcPr>
          <w:p w:rsidR="00C35C16" w:rsidRPr="00B50C82" w:rsidRDefault="00C35C16" w:rsidP="00C35C16">
            <w:pPr>
              <w:rPr>
                <w:sz w:val="20"/>
              </w:rPr>
            </w:pPr>
            <w:r w:rsidRPr="00B50C82">
              <w:rPr>
                <w:sz w:val="20"/>
              </w:rPr>
              <w:t xml:space="preserve">0 to 3000m </w:t>
            </w:r>
          </w:p>
          <w:p w:rsidR="00C35C16" w:rsidRPr="00B50C82" w:rsidRDefault="00C35C16" w:rsidP="00C35C16">
            <w:pPr>
              <w:rPr>
                <w:sz w:val="20"/>
              </w:rPr>
            </w:pPr>
            <w:r w:rsidRPr="00B50C82">
              <w:rPr>
                <w:rFonts w:ascii="Symbol" w:hAnsi="Symbol"/>
                <w:sz w:val="20"/>
              </w:rPr>
              <w:t></w:t>
            </w:r>
            <w:r w:rsidRPr="00B50C82">
              <w:rPr>
                <w:i/>
                <w:sz w:val="20"/>
              </w:rPr>
              <w:t>H</w:t>
            </w:r>
            <w:r w:rsidRPr="00B50C82">
              <w:rPr>
                <w:i/>
                <w:color w:val="000000"/>
                <w:sz w:val="28"/>
                <w:vertAlign w:val="subscript"/>
              </w:rPr>
              <w:t>O</w:t>
            </w:r>
            <w:r w:rsidRPr="00B50C82">
              <w:rPr>
                <w:sz w:val="20"/>
              </w:rPr>
              <w:t xml:space="preserve"> data</w:t>
            </w:r>
          </w:p>
        </w:tc>
      </w:tr>
      <w:tr w:rsidR="00C35C16" w:rsidRPr="00B50C82">
        <w:trPr>
          <w:trHeight w:val="360"/>
        </w:trPr>
        <w:tc>
          <w:tcPr>
            <w:tcW w:w="1728" w:type="dxa"/>
          </w:tcPr>
          <w:p w:rsidR="00C35C16" w:rsidRPr="009D2A6E" w:rsidRDefault="00C35C16" w:rsidP="00C35C16">
            <w:pPr>
              <w:rPr>
                <w:color w:val="000000"/>
                <w:sz w:val="20"/>
              </w:rPr>
            </w:pPr>
            <w:r w:rsidRPr="009D2A6E">
              <w:rPr>
                <w:color w:val="000000"/>
                <w:sz w:val="20"/>
              </w:rPr>
              <w:t xml:space="preserve">Levitus </w:t>
            </w:r>
            <w:r w:rsidRPr="009D2A6E">
              <w:rPr>
                <w:i/>
                <w:color w:val="000000"/>
                <w:sz w:val="20"/>
              </w:rPr>
              <w:t>et al</w:t>
            </w:r>
            <w:r w:rsidRPr="009D2A6E">
              <w:rPr>
                <w:color w:val="000000"/>
                <w:sz w:val="20"/>
              </w:rPr>
              <w:t>. [18]</w:t>
            </w:r>
          </w:p>
        </w:tc>
        <w:tc>
          <w:tcPr>
            <w:tcW w:w="1260" w:type="dxa"/>
          </w:tcPr>
          <w:p w:rsidR="00C35C16" w:rsidRPr="009D2A6E" w:rsidRDefault="00C35C16" w:rsidP="00C35C16">
            <w:pPr>
              <w:rPr>
                <w:sz w:val="20"/>
                <w:szCs w:val="28"/>
              </w:rPr>
            </w:pPr>
            <w:r w:rsidRPr="009D2A6E">
              <w:rPr>
                <w:sz w:val="20"/>
                <w:szCs w:val="28"/>
              </w:rPr>
              <w:t>1969-2003</w:t>
            </w:r>
          </w:p>
        </w:tc>
        <w:tc>
          <w:tcPr>
            <w:tcW w:w="1440" w:type="dxa"/>
          </w:tcPr>
          <w:p w:rsidR="00C35C16" w:rsidRPr="009D2A6E" w:rsidRDefault="00C35C16" w:rsidP="00C35C16">
            <w:pPr>
              <w:rPr>
                <w:sz w:val="20"/>
                <w:szCs w:val="28"/>
              </w:rPr>
            </w:pPr>
            <w:r w:rsidRPr="009D2A6E">
              <w:rPr>
                <w:sz w:val="20"/>
                <w:szCs w:val="28"/>
              </w:rPr>
              <w:t>0.198±0.03</w:t>
            </w:r>
          </w:p>
        </w:tc>
        <w:tc>
          <w:tcPr>
            <w:tcW w:w="2070" w:type="dxa"/>
          </w:tcPr>
          <w:p w:rsidR="00C35C16" w:rsidRPr="009D2A6E" w:rsidRDefault="00C35C16" w:rsidP="00C35C16">
            <w:pPr>
              <w:rPr>
                <w:sz w:val="20"/>
                <w:szCs w:val="28"/>
              </w:rPr>
            </w:pPr>
            <w:r w:rsidRPr="009D2A6E">
              <w:rPr>
                <w:sz w:val="20"/>
                <w:szCs w:val="28"/>
              </w:rPr>
              <w:t>0.111±0.03</w:t>
            </w:r>
          </w:p>
        </w:tc>
        <w:tc>
          <w:tcPr>
            <w:tcW w:w="1800" w:type="dxa"/>
          </w:tcPr>
          <w:p w:rsidR="00C35C16" w:rsidRPr="009D2A6E" w:rsidRDefault="00C35C16" w:rsidP="00C35C16">
            <w:pPr>
              <w:rPr>
                <w:color w:val="000000"/>
                <w:sz w:val="20"/>
              </w:rPr>
            </w:pPr>
          </w:p>
        </w:tc>
      </w:tr>
      <w:tr w:rsidR="00C35C16" w:rsidRPr="00B50C82">
        <w:trPr>
          <w:trHeight w:val="360"/>
        </w:trPr>
        <w:tc>
          <w:tcPr>
            <w:tcW w:w="1728" w:type="dxa"/>
          </w:tcPr>
          <w:p w:rsidR="00C35C16" w:rsidRPr="009D2A6E" w:rsidRDefault="00C35C16" w:rsidP="00C35C16">
            <w:pPr>
              <w:rPr>
                <w:color w:val="000000"/>
                <w:sz w:val="20"/>
              </w:rPr>
            </w:pPr>
            <w:r w:rsidRPr="009D2A6E">
              <w:rPr>
                <w:color w:val="000000"/>
                <w:sz w:val="20"/>
              </w:rPr>
              <w:t xml:space="preserve">Levitus </w:t>
            </w:r>
            <w:r w:rsidRPr="009D2A6E">
              <w:rPr>
                <w:i/>
                <w:color w:val="000000"/>
                <w:sz w:val="20"/>
              </w:rPr>
              <w:t>et al</w:t>
            </w:r>
            <w:r w:rsidRPr="009D2A6E">
              <w:rPr>
                <w:color w:val="000000"/>
                <w:sz w:val="20"/>
              </w:rPr>
              <w:t>. [18]</w:t>
            </w:r>
          </w:p>
        </w:tc>
        <w:tc>
          <w:tcPr>
            <w:tcW w:w="1260" w:type="dxa"/>
          </w:tcPr>
          <w:p w:rsidR="00C35C16" w:rsidRPr="009D2A6E" w:rsidRDefault="00C35C16" w:rsidP="00C35C16">
            <w:pPr>
              <w:rPr>
                <w:sz w:val="20"/>
                <w:szCs w:val="28"/>
              </w:rPr>
            </w:pPr>
            <w:r w:rsidRPr="009D2A6E">
              <w:rPr>
                <w:sz w:val="20"/>
                <w:szCs w:val="28"/>
              </w:rPr>
              <w:t>2004-2007</w:t>
            </w:r>
          </w:p>
        </w:tc>
        <w:tc>
          <w:tcPr>
            <w:tcW w:w="1440" w:type="dxa"/>
          </w:tcPr>
          <w:p w:rsidR="00C35C16" w:rsidRPr="009D2A6E" w:rsidRDefault="00C35C16" w:rsidP="00C35C16">
            <w:pPr>
              <w:rPr>
                <w:sz w:val="20"/>
                <w:szCs w:val="28"/>
              </w:rPr>
            </w:pPr>
            <w:r w:rsidRPr="009D2A6E">
              <w:rPr>
                <w:sz w:val="20"/>
                <w:szCs w:val="28"/>
              </w:rPr>
              <w:t>0±0.03</w:t>
            </w:r>
          </w:p>
        </w:tc>
        <w:tc>
          <w:tcPr>
            <w:tcW w:w="2070" w:type="dxa"/>
          </w:tcPr>
          <w:p w:rsidR="00C35C16" w:rsidRPr="009D2A6E" w:rsidRDefault="00C35C16" w:rsidP="00C35C16">
            <w:pPr>
              <w:rPr>
                <w:sz w:val="20"/>
                <w:szCs w:val="28"/>
              </w:rPr>
            </w:pPr>
            <w:r w:rsidRPr="009D2A6E">
              <w:rPr>
                <w:sz w:val="20"/>
                <w:szCs w:val="28"/>
              </w:rPr>
              <w:t>–0.087±0.03</w:t>
            </w:r>
          </w:p>
        </w:tc>
        <w:tc>
          <w:tcPr>
            <w:tcW w:w="1800" w:type="dxa"/>
          </w:tcPr>
          <w:p w:rsidR="00C35C16" w:rsidRPr="009D2A6E" w:rsidRDefault="00C35C16" w:rsidP="00C35C16">
            <w:pPr>
              <w:rPr>
                <w:color w:val="000000"/>
                <w:sz w:val="20"/>
              </w:rPr>
            </w:pPr>
          </w:p>
        </w:tc>
      </w:tr>
      <w:tr w:rsidR="00C35C16" w:rsidRPr="00B50C82">
        <w:trPr>
          <w:trHeight w:val="360"/>
        </w:trPr>
        <w:tc>
          <w:tcPr>
            <w:tcW w:w="1728" w:type="dxa"/>
          </w:tcPr>
          <w:p w:rsidR="00C35C16" w:rsidRPr="00B50C82" w:rsidRDefault="00C35C16" w:rsidP="00C35C16">
            <w:pPr>
              <w:rPr>
                <w:sz w:val="20"/>
              </w:rPr>
            </w:pPr>
            <w:r w:rsidRPr="00B50C82">
              <w:rPr>
                <w:sz w:val="20"/>
              </w:rPr>
              <w:t>IPCC [9] chap 5, page 387</w:t>
            </w:r>
          </w:p>
        </w:tc>
        <w:tc>
          <w:tcPr>
            <w:tcW w:w="1260" w:type="dxa"/>
          </w:tcPr>
          <w:p w:rsidR="00C35C16" w:rsidRPr="00B50C82" w:rsidRDefault="00C35C16" w:rsidP="00C35C16">
            <w:pPr>
              <w:rPr>
                <w:sz w:val="20"/>
              </w:rPr>
            </w:pPr>
            <w:r w:rsidRPr="00B50C82">
              <w:rPr>
                <w:sz w:val="20"/>
              </w:rPr>
              <w:t>1961–2003</w:t>
            </w:r>
          </w:p>
        </w:tc>
        <w:tc>
          <w:tcPr>
            <w:tcW w:w="1440" w:type="dxa"/>
          </w:tcPr>
          <w:p w:rsidR="00C35C16" w:rsidRPr="00B50C82" w:rsidRDefault="00C35C16" w:rsidP="00C35C16">
            <w:pPr>
              <w:rPr>
                <w:sz w:val="20"/>
                <w:szCs w:val="28"/>
              </w:rPr>
            </w:pPr>
            <w:r w:rsidRPr="00B50C82">
              <w:rPr>
                <w:sz w:val="20"/>
                <w:szCs w:val="28"/>
              </w:rPr>
              <w:t>+0.21±0.04</w:t>
            </w:r>
          </w:p>
        </w:tc>
        <w:tc>
          <w:tcPr>
            <w:tcW w:w="2070" w:type="dxa"/>
          </w:tcPr>
          <w:p w:rsidR="00C35C16" w:rsidRPr="00B50C82" w:rsidRDefault="00C35C16" w:rsidP="00C35C16">
            <w:pPr>
              <w:rPr>
                <w:sz w:val="20"/>
                <w:szCs w:val="28"/>
              </w:rPr>
            </w:pPr>
            <w:r w:rsidRPr="00B50C82">
              <w:rPr>
                <w:sz w:val="20"/>
                <w:szCs w:val="28"/>
              </w:rPr>
              <w:t>+0.123±0.04</w:t>
            </w:r>
          </w:p>
        </w:tc>
        <w:tc>
          <w:tcPr>
            <w:tcW w:w="1800" w:type="dxa"/>
          </w:tcPr>
          <w:p w:rsidR="00C35C16" w:rsidRPr="00B50C82" w:rsidRDefault="00C35C16" w:rsidP="00C35C16">
            <w:pPr>
              <w:rPr>
                <w:sz w:val="20"/>
              </w:rPr>
            </w:pPr>
            <w:r w:rsidRPr="00B50C82">
              <w:rPr>
                <w:sz w:val="20"/>
              </w:rPr>
              <w:t xml:space="preserve">0 to 3000m </w:t>
            </w:r>
          </w:p>
          <w:p w:rsidR="00C35C16" w:rsidRPr="00B50C82" w:rsidRDefault="00C35C16" w:rsidP="00C35C16">
            <w:pPr>
              <w:rPr>
                <w:sz w:val="20"/>
              </w:rPr>
            </w:pPr>
            <w:r w:rsidRPr="00B50C82">
              <w:rPr>
                <w:sz w:val="20"/>
              </w:rPr>
              <w:t>Based on [16]</w:t>
            </w:r>
          </w:p>
        </w:tc>
      </w:tr>
      <w:tr w:rsidR="00C35C16" w:rsidRPr="00B50C82">
        <w:trPr>
          <w:trHeight w:val="360"/>
        </w:trPr>
        <w:tc>
          <w:tcPr>
            <w:tcW w:w="1728" w:type="dxa"/>
          </w:tcPr>
          <w:p w:rsidR="00C35C16" w:rsidRPr="00B50C82" w:rsidRDefault="00C35C16" w:rsidP="00C35C16">
            <w:pPr>
              <w:rPr>
                <w:sz w:val="20"/>
              </w:rPr>
            </w:pPr>
            <w:r w:rsidRPr="00B50C82">
              <w:rPr>
                <w:sz w:val="20"/>
              </w:rPr>
              <w:t xml:space="preserve">Domingues et al. [14] </w:t>
            </w:r>
          </w:p>
        </w:tc>
        <w:tc>
          <w:tcPr>
            <w:tcW w:w="1260" w:type="dxa"/>
          </w:tcPr>
          <w:p w:rsidR="00C35C16" w:rsidRPr="00B50C82" w:rsidRDefault="00C35C16" w:rsidP="00C35C16">
            <w:pPr>
              <w:rPr>
                <w:sz w:val="20"/>
              </w:rPr>
            </w:pPr>
            <w:r w:rsidRPr="00B50C82">
              <w:rPr>
                <w:sz w:val="20"/>
              </w:rPr>
              <w:t>1961–2003</w:t>
            </w:r>
          </w:p>
        </w:tc>
        <w:tc>
          <w:tcPr>
            <w:tcW w:w="1440" w:type="dxa"/>
          </w:tcPr>
          <w:p w:rsidR="00C35C16" w:rsidRPr="00B50C82" w:rsidRDefault="00C35C16" w:rsidP="00C35C16">
            <w:pPr>
              <w:rPr>
                <w:sz w:val="20"/>
                <w:szCs w:val="28"/>
              </w:rPr>
            </w:pPr>
            <w:r w:rsidRPr="00B50C82">
              <w:rPr>
                <w:sz w:val="20"/>
                <w:szCs w:val="28"/>
              </w:rPr>
              <w:t>+0.23±0.04</w:t>
            </w:r>
          </w:p>
        </w:tc>
        <w:tc>
          <w:tcPr>
            <w:tcW w:w="2070" w:type="dxa"/>
          </w:tcPr>
          <w:p w:rsidR="00C35C16" w:rsidRPr="00B50C82" w:rsidRDefault="00C35C16" w:rsidP="00C35C16">
            <w:pPr>
              <w:rPr>
                <w:sz w:val="20"/>
                <w:szCs w:val="28"/>
              </w:rPr>
            </w:pPr>
            <w:r w:rsidRPr="00B50C82">
              <w:rPr>
                <w:sz w:val="20"/>
                <w:szCs w:val="28"/>
              </w:rPr>
              <w:t>+0.143±0.04</w:t>
            </w:r>
          </w:p>
        </w:tc>
        <w:tc>
          <w:tcPr>
            <w:tcW w:w="1800" w:type="dxa"/>
          </w:tcPr>
          <w:p w:rsidR="00C35C16" w:rsidRPr="00B50C82" w:rsidRDefault="00C35C16" w:rsidP="00C35C16">
            <w:pPr>
              <w:rPr>
                <w:sz w:val="20"/>
              </w:rPr>
            </w:pPr>
            <w:r w:rsidRPr="00B50C82">
              <w:rPr>
                <w:sz w:val="20"/>
              </w:rPr>
              <w:t xml:space="preserve">0 to 700m </w:t>
            </w:r>
          </w:p>
          <w:p w:rsidR="00C35C16" w:rsidRPr="00B50C82" w:rsidRDefault="00C35C16" w:rsidP="00C35C16">
            <w:pPr>
              <w:rPr>
                <w:sz w:val="20"/>
              </w:rPr>
            </w:pPr>
            <w:r w:rsidRPr="00B50C82">
              <w:rPr>
                <w:rFonts w:ascii="Symbol" w:hAnsi="Symbol"/>
                <w:sz w:val="20"/>
              </w:rPr>
              <w:t></w:t>
            </w:r>
            <w:r w:rsidRPr="00B50C82">
              <w:rPr>
                <w:i/>
                <w:sz w:val="20"/>
              </w:rPr>
              <w:t>H</w:t>
            </w:r>
            <w:r w:rsidRPr="00B50C82">
              <w:rPr>
                <w:i/>
                <w:color w:val="000000"/>
                <w:sz w:val="28"/>
                <w:vertAlign w:val="subscript"/>
              </w:rPr>
              <w:t>O</w:t>
            </w:r>
            <w:r w:rsidRPr="00B50C82">
              <w:rPr>
                <w:sz w:val="20"/>
              </w:rPr>
              <w:t xml:space="preserve">  data</w:t>
            </w:r>
          </w:p>
        </w:tc>
      </w:tr>
      <w:tr w:rsidR="00C35C16" w:rsidRPr="00B50C82">
        <w:trPr>
          <w:trHeight w:val="360"/>
        </w:trPr>
        <w:tc>
          <w:tcPr>
            <w:tcW w:w="1728" w:type="dxa"/>
          </w:tcPr>
          <w:p w:rsidR="00C35C16" w:rsidRPr="00B50C82" w:rsidRDefault="00C35C16" w:rsidP="00C35C16">
            <w:pPr>
              <w:rPr>
                <w:sz w:val="20"/>
              </w:rPr>
            </w:pPr>
            <w:r w:rsidRPr="00B50C82">
              <w:rPr>
                <w:sz w:val="20"/>
              </w:rPr>
              <w:t>Domingues [15]; this paper</w:t>
            </w:r>
          </w:p>
        </w:tc>
        <w:tc>
          <w:tcPr>
            <w:tcW w:w="1260" w:type="dxa"/>
          </w:tcPr>
          <w:p w:rsidR="00C35C16" w:rsidRPr="00B50C82" w:rsidRDefault="00C35C16" w:rsidP="00C35C16">
            <w:pPr>
              <w:rPr>
                <w:sz w:val="20"/>
              </w:rPr>
            </w:pPr>
            <w:r w:rsidRPr="00B50C82">
              <w:rPr>
                <w:sz w:val="20"/>
              </w:rPr>
              <w:t>1960–1975</w:t>
            </w:r>
          </w:p>
        </w:tc>
        <w:tc>
          <w:tcPr>
            <w:tcW w:w="1440" w:type="dxa"/>
          </w:tcPr>
          <w:p w:rsidR="00C35C16" w:rsidRPr="00B50C82" w:rsidRDefault="00C35C16" w:rsidP="00C35C16">
            <w:pPr>
              <w:rPr>
                <w:b/>
                <w:color w:val="FF0000"/>
                <w:sz w:val="20"/>
                <w:szCs w:val="28"/>
              </w:rPr>
            </w:pPr>
            <w:r>
              <w:rPr>
                <w:sz w:val="20"/>
                <w:szCs w:val="28"/>
              </w:rPr>
              <w:t>–</w:t>
            </w:r>
            <w:r w:rsidRPr="00B50C82">
              <w:rPr>
                <w:sz w:val="20"/>
                <w:szCs w:val="28"/>
              </w:rPr>
              <w:t>0.06±0.</w:t>
            </w:r>
            <w:r>
              <w:rPr>
                <w:sz w:val="20"/>
                <w:szCs w:val="28"/>
              </w:rPr>
              <w:t>11</w:t>
            </w:r>
          </w:p>
        </w:tc>
        <w:tc>
          <w:tcPr>
            <w:tcW w:w="2070" w:type="dxa"/>
          </w:tcPr>
          <w:p w:rsidR="00C35C16" w:rsidRPr="00B50C82" w:rsidRDefault="00C35C16" w:rsidP="00C35C16">
            <w:pPr>
              <w:rPr>
                <w:sz w:val="20"/>
                <w:szCs w:val="28"/>
              </w:rPr>
            </w:pPr>
            <w:r w:rsidRPr="00B50C82">
              <w:rPr>
                <w:sz w:val="20"/>
              </w:rPr>
              <w:t>–</w:t>
            </w:r>
            <w:r>
              <w:rPr>
                <w:sz w:val="20"/>
                <w:szCs w:val="28"/>
              </w:rPr>
              <w:t>0.15±0.11</w:t>
            </w:r>
          </w:p>
        </w:tc>
        <w:tc>
          <w:tcPr>
            <w:tcW w:w="1800" w:type="dxa"/>
          </w:tcPr>
          <w:p w:rsidR="00C35C16" w:rsidRPr="00B50C82" w:rsidRDefault="00C35C16" w:rsidP="00C35C16">
            <w:pPr>
              <w:rPr>
                <w:sz w:val="20"/>
              </w:rPr>
            </w:pPr>
            <w:r w:rsidRPr="00B50C82">
              <w:rPr>
                <w:sz w:val="20"/>
              </w:rPr>
              <w:t xml:space="preserve">0 to 700m </w:t>
            </w:r>
          </w:p>
          <w:p w:rsidR="00C35C16" w:rsidRPr="00B50C82" w:rsidRDefault="00C35C16" w:rsidP="00C35C16">
            <w:pPr>
              <w:rPr>
                <w:sz w:val="20"/>
              </w:rPr>
            </w:pPr>
            <w:r w:rsidRPr="00B50C82">
              <w:rPr>
                <w:rFonts w:ascii="Symbol" w:hAnsi="Symbol"/>
                <w:sz w:val="20"/>
              </w:rPr>
              <w:t></w:t>
            </w:r>
            <w:r w:rsidRPr="00B50C82">
              <w:rPr>
                <w:i/>
                <w:sz w:val="20"/>
              </w:rPr>
              <w:t>H</w:t>
            </w:r>
            <w:r w:rsidRPr="00B50C82">
              <w:rPr>
                <w:i/>
                <w:color w:val="000000"/>
                <w:sz w:val="28"/>
                <w:vertAlign w:val="subscript"/>
              </w:rPr>
              <w:t>O</w:t>
            </w:r>
            <w:r w:rsidRPr="00B50C82">
              <w:rPr>
                <w:sz w:val="20"/>
              </w:rPr>
              <w:t xml:space="preserve">  data</w:t>
            </w:r>
          </w:p>
        </w:tc>
      </w:tr>
      <w:tr w:rsidR="00C35C16" w:rsidRPr="00B50C82">
        <w:trPr>
          <w:trHeight w:val="360"/>
        </w:trPr>
        <w:tc>
          <w:tcPr>
            <w:tcW w:w="1728" w:type="dxa"/>
          </w:tcPr>
          <w:p w:rsidR="00C35C16" w:rsidRPr="00B50C82" w:rsidRDefault="00C35C16" w:rsidP="00C35C16">
            <w:pPr>
              <w:rPr>
                <w:sz w:val="20"/>
              </w:rPr>
            </w:pPr>
            <w:r w:rsidRPr="00B50C82">
              <w:rPr>
                <w:sz w:val="20"/>
              </w:rPr>
              <w:t>Domingues [15]; this paper</w:t>
            </w:r>
          </w:p>
        </w:tc>
        <w:tc>
          <w:tcPr>
            <w:tcW w:w="1260" w:type="dxa"/>
          </w:tcPr>
          <w:p w:rsidR="00C35C16" w:rsidRPr="00B50C82" w:rsidRDefault="00C35C16" w:rsidP="00C35C16">
            <w:pPr>
              <w:rPr>
                <w:sz w:val="20"/>
              </w:rPr>
            </w:pPr>
            <w:r w:rsidRPr="00B50C82">
              <w:rPr>
                <w:sz w:val="20"/>
              </w:rPr>
              <w:t>1975–2000</w:t>
            </w:r>
          </w:p>
        </w:tc>
        <w:tc>
          <w:tcPr>
            <w:tcW w:w="1440" w:type="dxa"/>
          </w:tcPr>
          <w:p w:rsidR="00C35C16" w:rsidRPr="00B50C82" w:rsidRDefault="00C35C16" w:rsidP="00C35C16">
            <w:pPr>
              <w:rPr>
                <w:sz w:val="20"/>
                <w:szCs w:val="28"/>
              </w:rPr>
            </w:pPr>
            <w:r w:rsidRPr="00B50C82">
              <w:rPr>
                <w:sz w:val="20"/>
                <w:szCs w:val="28"/>
              </w:rPr>
              <w:t>+0.24±0.0</w:t>
            </w:r>
            <w:r>
              <w:rPr>
                <w:sz w:val="20"/>
                <w:szCs w:val="28"/>
              </w:rPr>
              <w:t>7</w:t>
            </w:r>
          </w:p>
        </w:tc>
        <w:tc>
          <w:tcPr>
            <w:tcW w:w="2070" w:type="dxa"/>
          </w:tcPr>
          <w:p w:rsidR="00C35C16" w:rsidRPr="00B50C82" w:rsidRDefault="00C35C16" w:rsidP="00C35C16">
            <w:pPr>
              <w:rPr>
                <w:sz w:val="20"/>
                <w:szCs w:val="28"/>
              </w:rPr>
            </w:pPr>
            <w:r w:rsidRPr="00B50C82">
              <w:rPr>
                <w:sz w:val="20"/>
                <w:szCs w:val="28"/>
              </w:rPr>
              <w:t>+0.15±0.07</w:t>
            </w:r>
          </w:p>
        </w:tc>
        <w:tc>
          <w:tcPr>
            <w:tcW w:w="1800" w:type="dxa"/>
          </w:tcPr>
          <w:p w:rsidR="00C35C16" w:rsidRPr="00B50C82" w:rsidRDefault="00C35C16" w:rsidP="00C35C16">
            <w:pPr>
              <w:rPr>
                <w:sz w:val="20"/>
              </w:rPr>
            </w:pPr>
            <w:r w:rsidRPr="00B50C82">
              <w:rPr>
                <w:sz w:val="20"/>
              </w:rPr>
              <w:t xml:space="preserve">0 to 700m </w:t>
            </w:r>
          </w:p>
          <w:p w:rsidR="00C35C16" w:rsidRPr="00B50C82" w:rsidRDefault="00C35C16" w:rsidP="00C35C16">
            <w:pPr>
              <w:rPr>
                <w:sz w:val="20"/>
              </w:rPr>
            </w:pPr>
            <w:r w:rsidRPr="00B50C82">
              <w:rPr>
                <w:rFonts w:ascii="Symbol" w:hAnsi="Symbol"/>
                <w:sz w:val="20"/>
              </w:rPr>
              <w:t></w:t>
            </w:r>
            <w:r w:rsidRPr="00B50C82">
              <w:rPr>
                <w:i/>
                <w:sz w:val="20"/>
              </w:rPr>
              <w:t>H</w:t>
            </w:r>
            <w:r w:rsidRPr="00B50C82">
              <w:rPr>
                <w:i/>
                <w:color w:val="000000"/>
                <w:sz w:val="28"/>
                <w:vertAlign w:val="subscript"/>
              </w:rPr>
              <w:t>O</w:t>
            </w:r>
            <w:r w:rsidRPr="00B50C82">
              <w:rPr>
                <w:sz w:val="20"/>
              </w:rPr>
              <w:t xml:space="preserve">  data</w:t>
            </w:r>
          </w:p>
        </w:tc>
      </w:tr>
      <w:tr w:rsidR="00C35C16" w:rsidRPr="00B50C82">
        <w:trPr>
          <w:trHeight w:val="360"/>
        </w:trPr>
        <w:tc>
          <w:tcPr>
            <w:tcW w:w="1728" w:type="dxa"/>
          </w:tcPr>
          <w:p w:rsidR="00C35C16" w:rsidRPr="00B50C82" w:rsidRDefault="00C35C16" w:rsidP="00C35C16">
            <w:pPr>
              <w:rPr>
                <w:sz w:val="20"/>
              </w:rPr>
            </w:pPr>
            <w:r w:rsidRPr="00B50C82">
              <w:rPr>
                <w:sz w:val="20"/>
              </w:rPr>
              <w:t>Argo [13]; this paper</w:t>
            </w:r>
          </w:p>
        </w:tc>
        <w:tc>
          <w:tcPr>
            <w:tcW w:w="1260" w:type="dxa"/>
          </w:tcPr>
          <w:p w:rsidR="00C35C16" w:rsidRPr="00B50C82" w:rsidRDefault="00C35C16" w:rsidP="00C35C16">
            <w:pPr>
              <w:rPr>
                <w:sz w:val="20"/>
              </w:rPr>
            </w:pPr>
            <w:r w:rsidRPr="00B50C82">
              <w:rPr>
                <w:sz w:val="20"/>
              </w:rPr>
              <w:t xml:space="preserve">2003.7– </w:t>
            </w:r>
          </w:p>
          <w:p w:rsidR="00C35C16" w:rsidRPr="00B50C82" w:rsidRDefault="00C35C16" w:rsidP="00C35C16">
            <w:pPr>
              <w:rPr>
                <w:sz w:val="20"/>
              </w:rPr>
            </w:pPr>
            <w:r w:rsidRPr="00B50C82">
              <w:rPr>
                <w:sz w:val="20"/>
              </w:rPr>
              <w:t>2008.5</w:t>
            </w:r>
          </w:p>
        </w:tc>
        <w:tc>
          <w:tcPr>
            <w:tcW w:w="1440" w:type="dxa"/>
          </w:tcPr>
          <w:p w:rsidR="00C35C16" w:rsidRPr="00B50C82" w:rsidRDefault="00C35C16" w:rsidP="00C35C16">
            <w:pPr>
              <w:rPr>
                <w:sz w:val="20"/>
                <w:szCs w:val="28"/>
              </w:rPr>
            </w:pPr>
            <w:bookmarkStart w:id="5" w:name="OLE_LINK37"/>
            <w:r w:rsidRPr="00B50C82">
              <w:rPr>
                <w:sz w:val="20"/>
              </w:rPr>
              <w:t>–</w:t>
            </w:r>
            <w:bookmarkEnd w:id="5"/>
            <w:r w:rsidRPr="00B50C82">
              <w:rPr>
                <w:sz w:val="20"/>
                <w:szCs w:val="28"/>
              </w:rPr>
              <w:t>0.153±0.99</w:t>
            </w:r>
          </w:p>
        </w:tc>
        <w:tc>
          <w:tcPr>
            <w:tcW w:w="2070" w:type="dxa"/>
          </w:tcPr>
          <w:p w:rsidR="00C35C16" w:rsidRPr="00B50C82" w:rsidRDefault="00C35C16" w:rsidP="00C35C16">
            <w:pPr>
              <w:rPr>
                <w:sz w:val="20"/>
                <w:szCs w:val="28"/>
              </w:rPr>
            </w:pPr>
            <w:r w:rsidRPr="00B50C82">
              <w:rPr>
                <w:sz w:val="20"/>
              </w:rPr>
              <w:t>–</w:t>
            </w:r>
            <w:r w:rsidRPr="00B50C82">
              <w:rPr>
                <w:sz w:val="20"/>
                <w:szCs w:val="28"/>
              </w:rPr>
              <w:t>0.240±0.99</w:t>
            </w:r>
          </w:p>
        </w:tc>
        <w:tc>
          <w:tcPr>
            <w:tcW w:w="1800" w:type="dxa"/>
          </w:tcPr>
          <w:p w:rsidR="00C35C16" w:rsidRPr="00B50C82" w:rsidRDefault="00C35C16" w:rsidP="00C35C16">
            <w:pPr>
              <w:rPr>
                <w:sz w:val="20"/>
              </w:rPr>
            </w:pPr>
            <w:r w:rsidRPr="00B50C82">
              <w:rPr>
                <w:sz w:val="20"/>
              </w:rPr>
              <w:t xml:space="preserve">0 to 750m </w:t>
            </w:r>
          </w:p>
          <w:p w:rsidR="00C35C16" w:rsidRPr="00B50C82" w:rsidRDefault="00C35C16" w:rsidP="00C35C16">
            <w:pPr>
              <w:rPr>
                <w:sz w:val="20"/>
              </w:rPr>
            </w:pPr>
            <w:r w:rsidRPr="00B50C82">
              <w:rPr>
                <w:rFonts w:ascii="Symbol" w:hAnsi="Symbol"/>
                <w:sz w:val="20"/>
              </w:rPr>
              <w:t></w:t>
            </w:r>
            <w:r w:rsidRPr="00B50C82">
              <w:rPr>
                <w:i/>
                <w:sz w:val="20"/>
              </w:rPr>
              <w:t>H</w:t>
            </w:r>
            <w:r w:rsidRPr="00B50C82">
              <w:rPr>
                <w:i/>
                <w:color w:val="000000"/>
                <w:sz w:val="28"/>
                <w:vertAlign w:val="subscript"/>
              </w:rPr>
              <w:t>O</w:t>
            </w:r>
            <w:r w:rsidRPr="00B50C82">
              <w:rPr>
                <w:sz w:val="20"/>
              </w:rPr>
              <w:t xml:space="preserve">  data</w:t>
            </w:r>
          </w:p>
        </w:tc>
      </w:tr>
      <w:tr w:rsidR="00C35C16" w:rsidRPr="00B50C82">
        <w:trPr>
          <w:trHeight w:val="360"/>
        </w:trPr>
        <w:tc>
          <w:tcPr>
            <w:tcW w:w="1728" w:type="dxa"/>
          </w:tcPr>
          <w:p w:rsidR="00C35C16" w:rsidRPr="00B50C82" w:rsidRDefault="00C35C16" w:rsidP="00C35C16">
            <w:pPr>
              <w:rPr>
                <w:sz w:val="20"/>
              </w:rPr>
            </w:pPr>
            <w:r w:rsidRPr="00B50C82">
              <w:rPr>
                <w:sz w:val="20"/>
              </w:rPr>
              <w:t>CERES [24]; this paper</w:t>
            </w:r>
          </w:p>
        </w:tc>
        <w:tc>
          <w:tcPr>
            <w:tcW w:w="1260" w:type="dxa"/>
          </w:tcPr>
          <w:p w:rsidR="00C35C16" w:rsidRPr="00B50C82" w:rsidRDefault="00C35C16" w:rsidP="00C35C16">
            <w:pPr>
              <w:rPr>
                <w:sz w:val="20"/>
              </w:rPr>
            </w:pPr>
            <w:r w:rsidRPr="00B50C82">
              <w:rPr>
                <w:sz w:val="20"/>
              </w:rPr>
              <w:t>2000.5–</w:t>
            </w:r>
          </w:p>
          <w:p w:rsidR="00C35C16" w:rsidRPr="00B50C82" w:rsidRDefault="00C35C16" w:rsidP="00C35C16">
            <w:pPr>
              <w:rPr>
                <w:sz w:val="20"/>
              </w:rPr>
            </w:pPr>
            <w:r w:rsidRPr="00B50C82">
              <w:rPr>
                <w:sz w:val="20"/>
              </w:rPr>
              <w:t>2005.5</w:t>
            </w:r>
          </w:p>
        </w:tc>
        <w:tc>
          <w:tcPr>
            <w:tcW w:w="1440" w:type="dxa"/>
          </w:tcPr>
          <w:p w:rsidR="00C35C16" w:rsidRPr="00B50C82" w:rsidRDefault="00C35C16" w:rsidP="00C35C16">
            <w:pPr>
              <w:rPr>
                <w:sz w:val="20"/>
                <w:szCs w:val="28"/>
              </w:rPr>
            </w:pPr>
          </w:p>
        </w:tc>
        <w:tc>
          <w:tcPr>
            <w:tcW w:w="2070" w:type="dxa"/>
          </w:tcPr>
          <w:p w:rsidR="00C35C16" w:rsidRPr="00B50C82" w:rsidRDefault="00C35C16" w:rsidP="00C35C16">
            <w:pPr>
              <w:rPr>
                <w:sz w:val="20"/>
                <w:szCs w:val="28"/>
              </w:rPr>
            </w:pPr>
            <w:r w:rsidRPr="00B50C82">
              <w:rPr>
                <w:sz w:val="20"/>
              </w:rPr>
              <w:t>–</w:t>
            </w:r>
            <w:r w:rsidRPr="00B50C82">
              <w:rPr>
                <w:sz w:val="20"/>
                <w:szCs w:val="28"/>
              </w:rPr>
              <w:t>0.303±0.19</w:t>
            </w:r>
          </w:p>
        </w:tc>
        <w:tc>
          <w:tcPr>
            <w:tcW w:w="1800" w:type="dxa"/>
          </w:tcPr>
          <w:p w:rsidR="00C35C16" w:rsidRPr="00B50C82" w:rsidRDefault="00C35C16" w:rsidP="00C35C16">
            <w:pPr>
              <w:rPr>
                <w:sz w:val="20"/>
              </w:rPr>
            </w:pPr>
            <w:r w:rsidRPr="00B50C82">
              <w:rPr>
                <w:sz w:val="20"/>
              </w:rPr>
              <w:t>Mean from Argo TOA matched 2003-2005</w:t>
            </w:r>
          </w:p>
        </w:tc>
      </w:tr>
      <w:tr w:rsidR="00C35C16" w:rsidRPr="00B50C82">
        <w:trPr>
          <w:trHeight w:val="360"/>
        </w:trPr>
        <w:tc>
          <w:tcPr>
            <w:tcW w:w="1728" w:type="dxa"/>
          </w:tcPr>
          <w:p w:rsidR="00C35C16" w:rsidRPr="00B50C82" w:rsidRDefault="00C35C16" w:rsidP="00C35C16">
            <w:pPr>
              <w:rPr>
                <w:sz w:val="20"/>
              </w:rPr>
            </w:pPr>
            <w:r w:rsidRPr="00B50C82">
              <w:rPr>
                <w:sz w:val="20"/>
              </w:rPr>
              <w:t xml:space="preserve">Hansen </w:t>
            </w:r>
            <w:r w:rsidRPr="00B50C82">
              <w:rPr>
                <w:i/>
                <w:sz w:val="20"/>
              </w:rPr>
              <w:t>et al.</w:t>
            </w:r>
            <w:r w:rsidRPr="00B50C82">
              <w:rPr>
                <w:sz w:val="20"/>
              </w:rPr>
              <w:t xml:space="preserve"> [28]</w:t>
            </w:r>
          </w:p>
        </w:tc>
        <w:tc>
          <w:tcPr>
            <w:tcW w:w="1260" w:type="dxa"/>
          </w:tcPr>
          <w:p w:rsidR="00C35C16" w:rsidRPr="00B50C82" w:rsidRDefault="00C35C16" w:rsidP="00C35C16">
            <w:pPr>
              <w:rPr>
                <w:sz w:val="20"/>
              </w:rPr>
            </w:pPr>
            <w:r w:rsidRPr="00B50C82">
              <w:rPr>
                <w:sz w:val="20"/>
              </w:rPr>
              <w:t>value at 2003</w:t>
            </w:r>
          </w:p>
        </w:tc>
        <w:tc>
          <w:tcPr>
            <w:tcW w:w="1440" w:type="dxa"/>
          </w:tcPr>
          <w:p w:rsidR="00C35C16" w:rsidRPr="00B50C82" w:rsidRDefault="00C35C16" w:rsidP="00C35C16">
            <w:pPr>
              <w:rPr>
                <w:sz w:val="20"/>
                <w:szCs w:val="28"/>
              </w:rPr>
            </w:pPr>
          </w:p>
        </w:tc>
        <w:tc>
          <w:tcPr>
            <w:tcW w:w="2070" w:type="dxa"/>
          </w:tcPr>
          <w:p w:rsidR="00C35C16" w:rsidRPr="00B50C82" w:rsidRDefault="00C35C16" w:rsidP="00C35C16">
            <w:pPr>
              <w:rPr>
                <w:sz w:val="20"/>
                <w:szCs w:val="28"/>
              </w:rPr>
            </w:pPr>
            <w:r w:rsidRPr="00B50C82">
              <w:rPr>
                <w:sz w:val="20"/>
                <w:szCs w:val="28"/>
              </w:rPr>
              <w:t>+0.85±0.15</w:t>
            </w:r>
          </w:p>
        </w:tc>
        <w:tc>
          <w:tcPr>
            <w:tcW w:w="1800" w:type="dxa"/>
          </w:tcPr>
          <w:p w:rsidR="00C35C16" w:rsidRPr="00B50C82" w:rsidRDefault="00C35C16" w:rsidP="00C35C16">
            <w:pPr>
              <w:rPr>
                <w:sz w:val="20"/>
              </w:rPr>
            </w:pPr>
            <w:r w:rsidRPr="00B50C82">
              <w:rPr>
                <w:sz w:val="20"/>
              </w:rPr>
              <w:t>Model calculation</w:t>
            </w:r>
          </w:p>
        </w:tc>
      </w:tr>
      <w:tr w:rsidR="00C35C16" w:rsidRPr="00B50C82">
        <w:trPr>
          <w:trHeight w:val="360"/>
        </w:trPr>
        <w:tc>
          <w:tcPr>
            <w:tcW w:w="1728" w:type="dxa"/>
          </w:tcPr>
          <w:p w:rsidR="00C35C16" w:rsidRPr="00B50C82" w:rsidRDefault="00C35C16" w:rsidP="00C35C16">
            <w:pPr>
              <w:rPr>
                <w:sz w:val="20"/>
              </w:rPr>
            </w:pPr>
            <w:r w:rsidRPr="00B50C82">
              <w:rPr>
                <w:sz w:val="20"/>
              </w:rPr>
              <w:t>IPCC 2007,</w:t>
            </w:r>
          </w:p>
          <w:p w:rsidR="00C35C16" w:rsidRPr="00B50C82" w:rsidRDefault="00C35C16" w:rsidP="00C35C16">
            <w:pPr>
              <w:rPr>
                <w:sz w:val="20"/>
              </w:rPr>
            </w:pPr>
            <w:r w:rsidRPr="00B50C82">
              <w:rPr>
                <w:sz w:val="20"/>
              </w:rPr>
              <w:t>Fig SPM.2, page 5</w:t>
            </w:r>
          </w:p>
        </w:tc>
        <w:tc>
          <w:tcPr>
            <w:tcW w:w="1260" w:type="dxa"/>
          </w:tcPr>
          <w:p w:rsidR="00C35C16" w:rsidRPr="00B50C82" w:rsidRDefault="00C35C16" w:rsidP="00C35C16">
            <w:pPr>
              <w:rPr>
                <w:sz w:val="20"/>
              </w:rPr>
            </w:pPr>
            <w:r w:rsidRPr="00B50C82">
              <w:rPr>
                <w:sz w:val="20"/>
              </w:rPr>
              <w:t>value at 2005</w:t>
            </w:r>
          </w:p>
        </w:tc>
        <w:tc>
          <w:tcPr>
            <w:tcW w:w="1440" w:type="dxa"/>
          </w:tcPr>
          <w:p w:rsidR="00C35C16" w:rsidRPr="00B50C82" w:rsidRDefault="00C35C16" w:rsidP="00C35C16">
            <w:pPr>
              <w:rPr>
                <w:sz w:val="20"/>
                <w:szCs w:val="28"/>
              </w:rPr>
            </w:pPr>
          </w:p>
        </w:tc>
        <w:tc>
          <w:tcPr>
            <w:tcW w:w="2070" w:type="dxa"/>
          </w:tcPr>
          <w:p w:rsidR="00C35C16" w:rsidRPr="00B50C82" w:rsidRDefault="00C35C16" w:rsidP="00C35C16">
            <w:pPr>
              <w:rPr>
                <w:sz w:val="20"/>
                <w:szCs w:val="28"/>
              </w:rPr>
            </w:pPr>
            <w:r w:rsidRPr="00B50C82">
              <w:rPr>
                <w:sz w:val="20"/>
                <w:szCs w:val="28"/>
              </w:rPr>
              <w:t>+1.6 (0.6 to 2.4)</w:t>
            </w:r>
          </w:p>
        </w:tc>
        <w:tc>
          <w:tcPr>
            <w:tcW w:w="1800" w:type="dxa"/>
          </w:tcPr>
          <w:p w:rsidR="00C35C16" w:rsidRPr="00B50C82" w:rsidRDefault="00C35C16" w:rsidP="00C35C16">
            <w:pPr>
              <w:rPr>
                <w:sz w:val="20"/>
              </w:rPr>
            </w:pPr>
            <w:r w:rsidRPr="00B50C82">
              <w:rPr>
                <w:sz w:val="20"/>
              </w:rPr>
              <w:t>Differs from IPCC [9]</w:t>
            </w:r>
          </w:p>
        </w:tc>
      </w:tr>
      <w:tr w:rsidR="00C35C16" w:rsidRPr="00B50C82">
        <w:trPr>
          <w:trHeight w:val="360"/>
        </w:trPr>
        <w:tc>
          <w:tcPr>
            <w:tcW w:w="1728" w:type="dxa"/>
          </w:tcPr>
          <w:p w:rsidR="00C35C16" w:rsidRPr="00B50C82" w:rsidRDefault="00C35C16" w:rsidP="00C35C16">
            <w:pPr>
              <w:rPr>
                <w:color w:val="000000"/>
                <w:sz w:val="20"/>
              </w:rPr>
            </w:pPr>
            <w:r w:rsidRPr="00B50C82">
              <w:rPr>
                <w:color w:val="000000"/>
                <w:sz w:val="20"/>
              </w:rPr>
              <w:t>Argo [26]</w:t>
            </w:r>
          </w:p>
        </w:tc>
        <w:tc>
          <w:tcPr>
            <w:tcW w:w="1260" w:type="dxa"/>
          </w:tcPr>
          <w:p w:rsidR="00C35C16" w:rsidRPr="00B50C82" w:rsidRDefault="00C35C16" w:rsidP="00C35C16">
            <w:pPr>
              <w:rPr>
                <w:color w:val="000000"/>
                <w:sz w:val="20"/>
              </w:rPr>
            </w:pPr>
            <w:r w:rsidRPr="00B50C82">
              <w:rPr>
                <w:color w:val="000000"/>
                <w:sz w:val="20"/>
              </w:rPr>
              <w:t>2003</w:t>
            </w:r>
            <w:r w:rsidRPr="00B50C82">
              <w:rPr>
                <w:sz w:val="20"/>
              </w:rPr>
              <w:t>–20</w:t>
            </w:r>
            <w:r w:rsidRPr="00B50C82">
              <w:rPr>
                <w:color w:val="000000"/>
                <w:sz w:val="20"/>
              </w:rPr>
              <w:t>08</w:t>
            </w:r>
          </w:p>
        </w:tc>
        <w:tc>
          <w:tcPr>
            <w:tcW w:w="1440" w:type="dxa"/>
          </w:tcPr>
          <w:p w:rsidR="00C35C16" w:rsidRPr="00B50C82" w:rsidRDefault="00C35C16" w:rsidP="00C35C16">
            <w:pPr>
              <w:rPr>
                <w:color w:val="000000"/>
                <w:sz w:val="20"/>
                <w:szCs w:val="28"/>
              </w:rPr>
            </w:pPr>
            <w:r w:rsidRPr="00B50C82">
              <w:rPr>
                <w:color w:val="000000"/>
                <w:sz w:val="20"/>
              </w:rPr>
              <w:t>–0.22±0.3</w:t>
            </w:r>
          </w:p>
        </w:tc>
        <w:tc>
          <w:tcPr>
            <w:tcW w:w="2070" w:type="dxa"/>
          </w:tcPr>
          <w:p w:rsidR="00C35C16" w:rsidRPr="00B50C82" w:rsidRDefault="00C35C16" w:rsidP="00C35C16">
            <w:pPr>
              <w:rPr>
                <w:color w:val="000000"/>
                <w:sz w:val="20"/>
                <w:szCs w:val="28"/>
              </w:rPr>
            </w:pPr>
            <w:r w:rsidRPr="00B50C82">
              <w:rPr>
                <w:color w:val="000000"/>
                <w:sz w:val="20"/>
              </w:rPr>
              <w:t>–0.31±0.2</w:t>
            </w:r>
          </w:p>
        </w:tc>
        <w:tc>
          <w:tcPr>
            <w:tcW w:w="1800" w:type="dxa"/>
          </w:tcPr>
          <w:p w:rsidR="00C35C16" w:rsidRPr="00B50C82" w:rsidRDefault="00C35C16" w:rsidP="00C35C16">
            <w:pPr>
              <w:rPr>
                <w:color w:val="000000"/>
                <w:sz w:val="20"/>
              </w:rPr>
            </w:pPr>
          </w:p>
        </w:tc>
      </w:tr>
    </w:tbl>
    <w:p w:rsidR="00C35C16" w:rsidRDefault="00C35C16" w:rsidP="00C35C16">
      <w:pPr>
        <w:pStyle w:val="Text12-24"/>
      </w:pPr>
    </w:p>
    <w:sectPr w:rsidR="00C35C16" w:rsidSect="00C35C16">
      <w:headerReference w:type="even" r:id="rId19"/>
      <w:headerReference w:type="default" r:id="rId20"/>
      <w:footerReference w:type="even" r:id="rId21"/>
      <w:footerReference w:type="default" r:id="rId22"/>
      <w:headerReference w:type="first" r:id="rId23"/>
      <w:footerReference w:type="first" r:id="rId24"/>
      <w:pgSz w:w="15840" w:h="12240" w:orient="landscape"/>
      <w:pgMar w:top="1440" w:right="1440" w:bottom="1440" w:left="1800" w:header="720" w:footer="14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8D9" w:rsidRDefault="006E48D9">
      <w:r>
        <w:separator/>
      </w:r>
    </w:p>
  </w:endnote>
  <w:endnote w:type="continuationSeparator" w:id="1">
    <w:p w:rsidR="006E48D9" w:rsidRDefault="006E48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w:panose1 w:val="0202060306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16" w:rsidRDefault="00C35C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16" w:rsidRDefault="00C35C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16" w:rsidRDefault="00C35C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8D9" w:rsidRDefault="006E48D9">
      <w:r>
        <w:separator/>
      </w:r>
    </w:p>
  </w:footnote>
  <w:footnote w:type="continuationSeparator" w:id="1">
    <w:p w:rsidR="006E48D9" w:rsidRDefault="006E48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16" w:rsidRDefault="00C35C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16" w:rsidRDefault="00C35C16" w:rsidP="00C35C16">
    <w:pPr>
      <w:pStyle w:val="Head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252649">
      <w:rPr>
        <w:rStyle w:val="PageNumber"/>
        <w:noProof/>
      </w:rPr>
      <w:t>11</w:t>
    </w:r>
    <w:r>
      <w:rPr>
        <w:rStyle w:val="PageNumber"/>
      </w:rPr>
      <w:fldChar w:fldCharType="end"/>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16" w:rsidRPr="003A2A64" w:rsidRDefault="00C35C16" w:rsidP="00C35C16">
    <w:pPr>
      <w:pStyle w:val="Header"/>
      <w:jc w:val="right"/>
      <w:rPr>
        <w:b/>
      </w:rPr>
    </w:pPr>
    <w:r>
      <w:rPr>
        <w:b/>
      </w:rPr>
      <w:t xml:space="preserve">rev. </w:t>
    </w:r>
    <w:r w:rsidRPr="003A2A64">
      <w:rPr>
        <w:b/>
      </w:rPr>
      <w:t>7/</w:t>
    </w:r>
    <w:r>
      <w:rPr>
        <w:b/>
      </w:rPr>
      <w:t>15</w:t>
    </w:r>
    <w:r w:rsidRPr="003A2A64">
      <w:rPr>
        <w:b/>
      </w:rPr>
      <w:t>/09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B3443"/>
    <w:multiLevelType w:val="hybridMultilevel"/>
    <w:tmpl w:val="3FD0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0"/>
    <w:footnote w:id="1"/>
  </w:footnotePr>
  <w:endnotePr>
    <w:endnote w:id="0"/>
    <w:endnote w:id="1"/>
  </w:endnotePr>
  <w:compat/>
  <w:rsids>
    <w:rsidRoot w:val="003B4721"/>
    <w:rsid w:val="00252649"/>
    <w:rsid w:val="006E48D9"/>
    <w:rsid w:val="00C35C16"/>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B4721"/>
    <w:rPr>
      <w:rFonts w:ascii="Times New Roman" w:eastAsia="Times" w:hAnsi="Times New Roman"/>
      <w:sz w:val="24"/>
    </w:rPr>
  </w:style>
  <w:style w:type="paragraph" w:styleId="Heading1">
    <w:name w:val="heading 1"/>
    <w:basedOn w:val="Normal"/>
    <w:next w:val="Normal"/>
    <w:link w:val="Heading1Char"/>
    <w:qFormat/>
    <w:rsid w:val="003B4721"/>
    <w:pPr>
      <w:keepNext/>
      <w:spacing w:before="240" w:after="60"/>
      <w:outlineLvl w:val="0"/>
    </w:pPr>
    <w:rPr>
      <w:rFonts w:eastAsia="Times New Roman"/>
      <w:b/>
      <w:kern w:val="28"/>
      <w:sz w:val="28"/>
    </w:rPr>
  </w:style>
  <w:style w:type="paragraph" w:styleId="Heading2">
    <w:name w:val="heading 2"/>
    <w:basedOn w:val="Normal"/>
    <w:next w:val="Normal"/>
    <w:link w:val="Heading2Char"/>
    <w:qFormat/>
    <w:rsid w:val="003B4721"/>
    <w:pPr>
      <w:keepNext/>
      <w:spacing w:before="240" w:after="60"/>
      <w:outlineLvl w:val="1"/>
    </w:pPr>
    <w:rPr>
      <w:b/>
      <w: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3B4721"/>
    <w:rPr>
      <w:rFonts w:ascii="Times New Roman" w:eastAsia="Times New Roman" w:hAnsi="Times New Roman" w:cs="Times New Roman"/>
      <w:b/>
      <w:kern w:val="28"/>
      <w:sz w:val="28"/>
    </w:rPr>
  </w:style>
  <w:style w:type="character" w:customStyle="1" w:styleId="Heading2Char">
    <w:name w:val="Heading 2 Char"/>
    <w:basedOn w:val="DefaultParagraphFont"/>
    <w:link w:val="Heading2"/>
    <w:rsid w:val="003B4721"/>
    <w:rPr>
      <w:rFonts w:ascii="Times New Roman" w:eastAsia="Times" w:hAnsi="Times New Roman" w:cs="Times New Roman"/>
      <w:b/>
      <w:i/>
      <w:sz w:val="24"/>
    </w:rPr>
  </w:style>
  <w:style w:type="paragraph" w:customStyle="1" w:styleId="Authors">
    <w:name w:val="Authors"/>
    <w:basedOn w:val="Normal"/>
    <w:rsid w:val="003B4721"/>
    <w:pPr>
      <w:tabs>
        <w:tab w:val="left" w:pos="0"/>
        <w:tab w:val="left" w:pos="720"/>
      </w:tabs>
      <w:spacing w:line="280" w:lineRule="exact"/>
      <w:jc w:val="center"/>
    </w:pPr>
    <w:rPr>
      <w:rFonts w:eastAsia="Times New Roman"/>
      <w:color w:val="000000"/>
    </w:rPr>
  </w:style>
  <w:style w:type="paragraph" w:styleId="Header">
    <w:name w:val="header"/>
    <w:basedOn w:val="Normal"/>
    <w:link w:val="HeaderChar"/>
    <w:uiPriority w:val="99"/>
    <w:rsid w:val="003B4721"/>
    <w:pPr>
      <w:tabs>
        <w:tab w:val="center" w:pos="4320"/>
        <w:tab w:val="right" w:pos="8640"/>
      </w:tabs>
    </w:pPr>
  </w:style>
  <w:style w:type="character" w:customStyle="1" w:styleId="HeaderChar">
    <w:name w:val="Header Char"/>
    <w:basedOn w:val="DefaultParagraphFont"/>
    <w:link w:val="Header"/>
    <w:uiPriority w:val="99"/>
    <w:rsid w:val="003B4721"/>
    <w:rPr>
      <w:rFonts w:ascii="Times New Roman" w:eastAsia="Times" w:hAnsi="Times New Roman" w:cs="Times New Roman"/>
      <w:sz w:val="24"/>
    </w:rPr>
  </w:style>
  <w:style w:type="paragraph" w:styleId="Footer">
    <w:name w:val="footer"/>
    <w:basedOn w:val="Normal"/>
    <w:link w:val="FooterChar"/>
    <w:uiPriority w:val="99"/>
    <w:rsid w:val="003B4721"/>
    <w:pPr>
      <w:tabs>
        <w:tab w:val="center" w:pos="4320"/>
        <w:tab w:val="right" w:pos="8640"/>
      </w:tabs>
    </w:pPr>
  </w:style>
  <w:style w:type="character" w:customStyle="1" w:styleId="FooterChar">
    <w:name w:val="Footer Char"/>
    <w:basedOn w:val="DefaultParagraphFont"/>
    <w:link w:val="Footer"/>
    <w:uiPriority w:val="99"/>
    <w:rsid w:val="003B4721"/>
    <w:rPr>
      <w:rFonts w:ascii="Times New Roman" w:eastAsia="Times" w:hAnsi="Times New Roman" w:cs="Times New Roman"/>
      <w:sz w:val="24"/>
    </w:rPr>
  </w:style>
  <w:style w:type="character" w:styleId="PageNumber">
    <w:name w:val="page number"/>
    <w:basedOn w:val="DefaultParagraphFont"/>
    <w:rsid w:val="003B4721"/>
    <w:rPr>
      <w:rFonts w:ascii="Times New Roman" w:hAnsi="Times New Roman"/>
      <w:sz w:val="24"/>
    </w:rPr>
  </w:style>
  <w:style w:type="paragraph" w:customStyle="1" w:styleId="Superscript">
    <w:name w:val="_Superscript"/>
    <w:basedOn w:val="Normal"/>
    <w:rsid w:val="003B4721"/>
    <w:pPr>
      <w:tabs>
        <w:tab w:val="left" w:pos="0"/>
        <w:tab w:val="left" w:pos="720"/>
      </w:tabs>
      <w:spacing w:line="360" w:lineRule="exact"/>
    </w:pPr>
    <w:rPr>
      <w:rFonts w:eastAsia="Times New Roman"/>
      <w:color w:val="000000"/>
      <w:sz w:val="28"/>
      <w:vertAlign w:val="superscript"/>
    </w:rPr>
  </w:style>
  <w:style w:type="paragraph" w:customStyle="1" w:styleId="References">
    <w:name w:val="__References"/>
    <w:basedOn w:val="Normal"/>
    <w:rsid w:val="003B4721"/>
    <w:pPr>
      <w:tabs>
        <w:tab w:val="decimal" w:pos="450"/>
        <w:tab w:val="left" w:pos="720"/>
      </w:tabs>
      <w:spacing w:line="360" w:lineRule="exact"/>
      <w:ind w:left="720" w:hanging="720"/>
    </w:pPr>
    <w:rPr>
      <w:rFonts w:eastAsia="Times New Roman"/>
    </w:rPr>
  </w:style>
  <w:style w:type="paragraph" w:customStyle="1" w:styleId="ArticleTitle">
    <w:name w:val="Article Title"/>
    <w:basedOn w:val="Heading1"/>
    <w:rsid w:val="003B4721"/>
    <w:pPr>
      <w:jc w:val="center"/>
    </w:pPr>
    <w:rPr>
      <w:color w:val="000000"/>
      <w:sz w:val="36"/>
    </w:rPr>
  </w:style>
  <w:style w:type="paragraph" w:customStyle="1" w:styleId="Subscript">
    <w:name w:val="_Subscript"/>
    <w:basedOn w:val="Normal"/>
    <w:rsid w:val="003B4721"/>
    <w:pPr>
      <w:tabs>
        <w:tab w:val="left" w:pos="0"/>
        <w:tab w:val="left" w:pos="720"/>
      </w:tabs>
      <w:spacing w:line="280" w:lineRule="exact"/>
    </w:pPr>
    <w:rPr>
      <w:rFonts w:eastAsia="Times New Roman"/>
      <w:color w:val="000000"/>
      <w:sz w:val="28"/>
      <w:vertAlign w:val="subscript"/>
    </w:rPr>
  </w:style>
  <w:style w:type="paragraph" w:customStyle="1" w:styleId="Subscriptltr">
    <w:name w:val="_Subscript_ltr"/>
    <w:basedOn w:val="Normal"/>
    <w:rsid w:val="003B4721"/>
    <w:pPr>
      <w:tabs>
        <w:tab w:val="left" w:pos="360"/>
        <w:tab w:val="left" w:pos="720"/>
        <w:tab w:val="left" w:pos="1080"/>
        <w:tab w:val="left" w:pos="1440"/>
      </w:tabs>
      <w:spacing w:line="280" w:lineRule="exact"/>
    </w:pPr>
    <w:rPr>
      <w:rFonts w:eastAsia="Times New Roman"/>
      <w:i/>
      <w:color w:val="000000"/>
      <w:sz w:val="28"/>
      <w:vertAlign w:val="subscript"/>
    </w:rPr>
  </w:style>
  <w:style w:type="paragraph" w:customStyle="1" w:styleId="Text12-24">
    <w:name w:val="__Text 12-24"/>
    <w:basedOn w:val="Normal"/>
    <w:rsid w:val="003B4721"/>
    <w:pPr>
      <w:tabs>
        <w:tab w:val="left" w:pos="0"/>
        <w:tab w:val="left" w:pos="720"/>
      </w:tabs>
      <w:spacing w:line="480" w:lineRule="exact"/>
    </w:pPr>
    <w:rPr>
      <w:rFonts w:eastAsia="Times New Roman"/>
      <w:color w:val="000000"/>
    </w:rPr>
  </w:style>
  <w:style w:type="paragraph" w:customStyle="1" w:styleId="Equation12-24">
    <w:name w:val="__Equation 12-24"/>
    <w:basedOn w:val="Normal"/>
    <w:rsid w:val="003B4721"/>
    <w:pPr>
      <w:tabs>
        <w:tab w:val="center" w:pos="180"/>
        <w:tab w:val="right" w:pos="8370"/>
      </w:tabs>
      <w:spacing w:before="120" w:after="120" w:line="480" w:lineRule="atLeast"/>
    </w:pPr>
    <w:rPr>
      <w:rFonts w:eastAsia="Times New Roman"/>
      <w:color w:val="000000"/>
      <w:position w:val="-50"/>
    </w:rPr>
  </w:style>
  <w:style w:type="paragraph" w:customStyle="1" w:styleId="ColorfulList-Accent11">
    <w:name w:val="Colorful List - Accent 11"/>
    <w:basedOn w:val="Normal"/>
    <w:uiPriority w:val="34"/>
    <w:qFormat/>
    <w:rsid w:val="003B4721"/>
    <w:pPr>
      <w:ind w:left="720"/>
      <w:contextualSpacing/>
    </w:pPr>
  </w:style>
  <w:style w:type="character" w:customStyle="1" w:styleId="BalloonTextChar">
    <w:name w:val="Balloon Text Char"/>
    <w:basedOn w:val="DefaultParagraphFont"/>
    <w:link w:val="BalloonText"/>
    <w:uiPriority w:val="99"/>
    <w:semiHidden/>
    <w:rsid w:val="003B4721"/>
    <w:rPr>
      <w:rFonts w:ascii="Tahoma" w:eastAsia="Times" w:hAnsi="Tahoma" w:cs="Tahoma"/>
      <w:sz w:val="16"/>
      <w:szCs w:val="16"/>
    </w:rPr>
  </w:style>
  <w:style w:type="paragraph" w:styleId="BalloonText">
    <w:name w:val="Balloon Text"/>
    <w:basedOn w:val="Normal"/>
    <w:link w:val="BalloonTextChar"/>
    <w:uiPriority w:val="99"/>
    <w:semiHidden/>
    <w:unhideWhenUsed/>
    <w:rsid w:val="003B4721"/>
    <w:rPr>
      <w:rFonts w:ascii="Tahoma" w:hAnsi="Tahoma" w:cs="Tahoma"/>
      <w:sz w:val="16"/>
      <w:szCs w:val="16"/>
    </w:rPr>
  </w:style>
  <w:style w:type="character" w:customStyle="1" w:styleId="CommentTextChar">
    <w:name w:val="Comment Text Char"/>
    <w:basedOn w:val="DefaultParagraphFont"/>
    <w:link w:val="CommentText"/>
    <w:uiPriority w:val="99"/>
    <w:semiHidden/>
    <w:rsid w:val="003B4721"/>
    <w:rPr>
      <w:rFonts w:ascii="Times New Roman" w:eastAsia="Times" w:hAnsi="Times New Roman" w:cs="Times New Roman"/>
    </w:rPr>
  </w:style>
  <w:style w:type="paragraph" w:styleId="CommentText">
    <w:name w:val="annotation text"/>
    <w:basedOn w:val="Normal"/>
    <w:link w:val="CommentTextChar"/>
    <w:uiPriority w:val="99"/>
    <w:semiHidden/>
    <w:unhideWhenUsed/>
    <w:rsid w:val="003B4721"/>
    <w:rPr>
      <w:sz w:val="20"/>
    </w:rPr>
  </w:style>
  <w:style w:type="character" w:customStyle="1" w:styleId="CommentSubjectChar">
    <w:name w:val="Comment Subject Char"/>
    <w:basedOn w:val="CommentTextChar"/>
    <w:link w:val="CommentSubject"/>
    <w:uiPriority w:val="99"/>
    <w:semiHidden/>
    <w:rsid w:val="003B4721"/>
    <w:rPr>
      <w:b/>
      <w:bCs/>
    </w:rPr>
  </w:style>
  <w:style w:type="paragraph" w:styleId="CommentSubject">
    <w:name w:val="annotation subject"/>
    <w:basedOn w:val="CommentText"/>
    <w:next w:val="CommentText"/>
    <w:link w:val="CommentSubjectChar"/>
    <w:uiPriority w:val="99"/>
    <w:semiHidden/>
    <w:unhideWhenUsed/>
    <w:rsid w:val="003B4721"/>
    <w:rPr>
      <w:b/>
      <w:bCs/>
    </w:rPr>
  </w:style>
  <w:style w:type="paragraph" w:customStyle="1" w:styleId="ref">
    <w:name w:val="ref"/>
    <w:basedOn w:val="Normal"/>
    <w:rsid w:val="003B4721"/>
    <w:pPr>
      <w:spacing w:before="100" w:beforeAutospacing="1" w:after="100" w:afterAutospacing="1"/>
      <w:ind w:left="393" w:hanging="393"/>
    </w:pPr>
    <w:rPr>
      <w:rFonts w:eastAsia="Times New Roman"/>
      <w:szCs w:val="24"/>
    </w:rPr>
  </w:style>
  <w:style w:type="paragraph" w:customStyle="1" w:styleId="Refs-H-24">
    <w:name w:val="Refs-H-24"/>
    <w:basedOn w:val="Normal"/>
    <w:rsid w:val="003B4721"/>
    <w:pPr>
      <w:spacing w:line="480" w:lineRule="exact"/>
      <w:ind w:left="547" w:hanging="547"/>
    </w:pPr>
    <w:rPr>
      <w:rFonts w:eastAsia="Times New Roman"/>
      <w:szCs w:val="24"/>
      <w:lang w:val="de-DE"/>
    </w:rPr>
  </w:style>
  <w:style w:type="character" w:customStyle="1" w:styleId="journal">
    <w:name w:val="journal"/>
    <w:basedOn w:val="DefaultParagraphFont"/>
    <w:rsid w:val="003B4721"/>
  </w:style>
  <w:style w:type="character" w:customStyle="1" w:styleId="doi">
    <w:name w:val="doi"/>
    <w:basedOn w:val="DefaultParagraphFont"/>
    <w:rsid w:val="003B4721"/>
  </w:style>
  <w:style w:type="character" w:styleId="Hyperlink">
    <w:name w:val="Hyperlink"/>
    <w:basedOn w:val="DefaultParagraphFont"/>
    <w:uiPriority w:val="99"/>
    <w:unhideWhenUsed/>
    <w:rsid w:val="003B4721"/>
    <w:rPr>
      <w:color w:val="0000FF"/>
      <w:u w:val="single"/>
    </w:rPr>
  </w:style>
  <w:style w:type="character" w:styleId="LineNumber">
    <w:name w:val="line number"/>
    <w:basedOn w:val="DefaultParagraphFont"/>
    <w:rsid w:val="003B4721"/>
  </w:style>
  <w:style w:type="character" w:styleId="Strong">
    <w:name w:val="Strong"/>
    <w:basedOn w:val="DefaultParagraphFont"/>
    <w:uiPriority w:val="22"/>
    <w:qFormat/>
    <w:rsid w:val="003B4721"/>
    <w:rPr>
      <w:b/>
      <w:bCs/>
    </w:rPr>
  </w:style>
</w:styles>
</file>

<file path=word/webSettings.xml><?xml version="1.0" encoding="utf-8"?>
<w:webSettings xmlns:r="http://schemas.openxmlformats.org/officeDocument/2006/relationships" xmlns:w="http://schemas.openxmlformats.org/wordprocessingml/2006/main">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2.pcz"/><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8.pcz"/><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cz"/><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header" Target="header3.xm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cz"/><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1933</Words>
  <Characters>11021</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Supplementary material</vt:lpstr>
      <vt:lpstr>Notes on Sec. 2</vt:lpstr>
      <vt:lpstr>References for Supplementary material</vt:lpstr>
    </vt:vector>
  </TitlesOfParts>
  <Company>Univ of Rochester</Company>
  <LinksUpToDate>false</LinksUpToDate>
  <CharactersWithSpaces>12929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Knox</dc:creator>
  <cp:keywords/>
  <cp:lastModifiedBy>HP Authorized Customer</cp:lastModifiedBy>
  <cp:revision>2</cp:revision>
  <cp:lastPrinted>2009-07-15T14:27:00Z</cp:lastPrinted>
  <dcterms:created xsi:type="dcterms:W3CDTF">2009-08-14T04:58:00Z</dcterms:created>
  <dcterms:modified xsi:type="dcterms:W3CDTF">2009-08-14T04:58:00Z</dcterms:modified>
</cp:coreProperties>
</file>